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CBA1" w14:textId="77777777" w:rsidR="0038457A" w:rsidRPr="00246136" w:rsidRDefault="00B06478" w:rsidP="00EE30E9">
      <w:pPr>
        <w:pStyle w:val="Heading1"/>
        <w:spacing w:before="120" w:after="360"/>
        <w:rPr>
          <w:sz w:val="48"/>
        </w:rPr>
      </w:pPr>
      <w:bookmarkStart w:id="0" w:name="_Toc443911209"/>
      <w:bookmarkStart w:id="1" w:name="_Toc443911225"/>
      <w:r>
        <w:rPr>
          <w:sz w:val="48"/>
        </w:rPr>
        <w:t>Birchwood</w:t>
      </w:r>
      <w:r w:rsidR="00F16333">
        <w:rPr>
          <w:sz w:val="48"/>
        </w:rPr>
        <w:t xml:space="preserve"> </w:t>
      </w:r>
      <w:r>
        <w:rPr>
          <w:sz w:val="48"/>
        </w:rPr>
        <w:t>2023</w:t>
      </w:r>
      <w:r w:rsidR="00EE30E9" w:rsidRPr="00246136">
        <w:rPr>
          <w:sz w:val="48"/>
        </w:rPr>
        <w:t xml:space="preserve"> Drinking Water Report</w:t>
      </w:r>
    </w:p>
    <w:p w14:paraId="5B29C40A" w14:textId="77777777" w:rsidR="00CC554A" w:rsidRPr="00E11F64" w:rsidRDefault="00FE1DDC" w:rsidP="00CC554A">
      <w:pPr>
        <w:pStyle w:val="Heading2"/>
      </w:pPr>
      <w:r>
        <w:t>Making Safe Drinking W</w:t>
      </w:r>
      <w:r w:rsidR="00CC554A">
        <w:t>ater</w:t>
      </w:r>
    </w:p>
    <w:p w14:paraId="6C52AAB1"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purchased water from White Bear Lake.</w:t>
      </w:r>
    </w:p>
    <w:p w14:paraId="3A6B3A31" w14:textId="77777777" w:rsidR="00CC554A" w:rsidRDefault="00CC554A" w:rsidP="00CC554A">
      <w:r>
        <w:t>Birchwood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EA4473D" w14:textId="53892915" w:rsidR="00CC554A" w:rsidRDefault="00CC554A" w:rsidP="00CC554A">
      <w:r w:rsidRPr="00126DF7">
        <w:t>C</w:t>
      </w:r>
      <w:r w:rsidR="009D6BA8">
        <w:t>ontact</w:t>
      </w:r>
      <w:r>
        <w:t xml:space="preserve"> Jon Manship, Water Superintendent, at (651) 426-</w:t>
      </w:r>
      <w:r w:rsidR="00C05396">
        <w:t>9386 or</w:t>
      </w:r>
      <w:r>
        <w:t xml:space="preserve"> </w:t>
      </w:r>
      <w:proofErr w:type="gramStart"/>
      <w:r>
        <w:t xml:space="preserve">birchwoodh2o@gmail.com </w:t>
      </w:r>
      <w:r w:rsidRPr="00126DF7">
        <w:t xml:space="preserve"> if</w:t>
      </w:r>
      <w:proofErr w:type="gramEnd"/>
      <w:r w:rsidRPr="00126DF7">
        <w:t xml:space="preserve"> you have questions about </w:t>
      </w:r>
      <w:r>
        <w:t>Birchwood’s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F4DB60B"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234D9765"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72B5B789" w14:textId="77777777" w:rsidR="0038457A" w:rsidRPr="00126DF7" w:rsidRDefault="004D155D" w:rsidP="00FE72F8">
      <w:pPr>
        <w:pStyle w:val="Heading2"/>
      </w:pPr>
      <w:r>
        <w:t xml:space="preserve">Birchwood </w:t>
      </w:r>
      <w:r w:rsidR="00903404">
        <w:t>Monitoring Results</w:t>
      </w:r>
    </w:p>
    <w:p w14:paraId="404EE54D" w14:textId="77777777" w:rsidR="008309B4" w:rsidRDefault="008309B4" w:rsidP="008309B4">
      <w:r>
        <w:t>This report contains our monitoring results from January 1 to December 31, 2023.</w:t>
      </w:r>
    </w:p>
    <w:p w14:paraId="2DBF8F6B"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28EDCA8C"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45802C0F" w14:textId="77777777" w:rsidR="00CC554A" w:rsidRDefault="00CC554A" w:rsidP="00246136">
      <w:pPr>
        <w:pStyle w:val="Heading3"/>
        <w:spacing w:before="240"/>
      </w:pPr>
      <w:r>
        <w:t>How to Read the Water Quality Data Tables</w:t>
      </w:r>
    </w:p>
    <w:p w14:paraId="61271510"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35FE9F2" w14:textId="77777777" w:rsidR="008309B4" w:rsidRDefault="008309B4" w:rsidP="008309B4">
      <w:pPr>
        <w:tabs>
          <w:tab w:val="left" w:pos="-1180"/>
          <w:tab w:val="left" w:pos="-720"/>
          <w:tab w:val="left" w:pos="0"/>
        </w:tabs>
      </w:pPr>
      <w:r>
        <w:lastRenderedPageBreak/>
        <w:t xml:space="preserve">We </w:t>
      </w:r>
      <w:proofErr w:type="gramStart"/>
      <w:r>
        <w:t>sample for</w:t>
      </w:r>
      <w:proofErr w:type="gramEnd"/>
      <w:r>
        <w:t xml:space="preserve"> some contaminants less than once a year because their levels in water are not expected to change from year to year. If we found any of these contaminants the last time we sampled for them, we included them in the tables below with the detection date.</w:t>
      </w:r>
    </w:p>
    <w:p w14:paraId="019EA84F"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3EAB8570"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552AF001" w14:textId="77777777" w:rsidR="0038457A" w:rsidRPr="0038457A" w:rsidRDefault="00115D1C" w:rsidP="00246136">
      <w:pPr>
        <w:pStyle w:val="Heading3"/>
        <w:spacing w:before="240"/>
      </w:pPr>
      <w:r>
        <w:t>Definitions</w:t>
      </w:r>
    </w:p>
    <w:p w14:paraId="6B464541"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1DBC83A"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679D050D"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DD7B578"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27597CBC"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2F12FE5B"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06B4BC88"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5EB16E38"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57DE38C1"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033418DC"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00AA741C"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263514E4"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3DB9A295" w14:textId="77777777" w:rsidTr="00EB5D09">
        <w:trPr>
          <w:cantSplit/>
        </w:trPr>
        <w:tc>
          <w:tcPr>
            <w:tcW w:w="10440" w:type="dxa"/>
          </w:tcPr>
          <w:p w14:paraId="5D6F3A93"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25360FFA" w14:textId="77777777" w:rsidTr="00EB5D09">
              <w:trPr>
                <w:tblHeader/>
              </w:trPr>
              <w:tc>
                <w:tcPr>
                  <w:tcW w:w="2488" w:type="dxa"/>
                  <w:shd w:val="clear" w:color="auto" w:fill="D9D9D9" w:themeFill="background2" w:themeFillShade="D9"/>
                  <w:vAlign w:val="center"/>
                </w:tcPr>
                <w:p w14:paraId="0F26F89A"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651BE9FC"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7AEC51AB"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57060741"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1D51257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4D1688A4"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7484C993"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5EE2DEE1" w14:textId="77777777" w:rsidTr="00EB5D09">
              <w:tc>
                <w:tcPr>
                  <w:tcW w:w="2488" w:type="dxa"/>
                  <w:shd w:val="clear" w:color="auto" w:fill="auto"/>
                </w:tcPr>
                <w:p w14:paraId="260FC22A" w14:textId="77777777" w:rsidR="00C84C60" w:rsidRPr="002B1D94" w:rsidRDefault="00C84C60" w:rsidP="00EB5D09">
                  <w:pPr>
                    <w:tabs>
                      <w:tab w:val="left" w:pos="-1180"/>
                      <w:tab w:val="left" w:pos="-720"/>
                      <w:tab w:val="left" w:pos="0"/>
                    </w:tabs>
                    <w:rPr>
                      <w:b/>
                      <w:sz w:val="22"/>
                    </w:rPr>
                  </w:pPr>
                  <w:r>
                    <w:rPr>
                      <w:b/>
                      <w:sz w:val="22"/>
                    </w:rPr>
                    <w:t>Lead (10/27/22)</w:t>
                  </w:r>
                </w:p>
              </w:tc>
              <w:tc>
                <w:tcPr>
                  <w:tcW w:w="1136" w:type="dxa"/>
                </w:tcPr>
                <w:p w14:paraId="45987EA7"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063FABC1"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53ACD1D8" w14:textId="77777777" w:rsidR="00C84C60" w:rsidRPr="00370D90" w:rsidRDefault="00C84C60" w:rsidP="00EB5D09">
                  <w:pPr>
                    <w:tabs>
                      <w:tab w:val="left" w:pos="-1180"/>
                      <w:tab w:val="left" w:pos="-720"/>
                      <w:tab w:val="left" w:pos="0"/>
                    </w:tabs>
                    <w:jc w:val="center"/>
                    <w:rPr>
                      <w:sz w:val="22"/>
                    </w:rPr>
                  </w:pPr>
                  <w:r>
                    <w:rPr>
                      <w:sz w:val="22"/>
                    </w:rPr>
                    <w:t>1.37 ppb</w:t>
                  </w:r>
                </w:p>
              </w:tc>
              <w:tc>
                <w:tcPr>
                  <w:tcW w:w="977" w:type="dxa"/>
                  <w:shd w:val="clear" w:color="auto" w:fill="auto"/>
                </w:tcPr>
                <w:p w14:paraId="27FB374B"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6B84FA55"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678470A9"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4B3A46B6" w14:textId="77777777" w:rsidTr="00EB5D09">
              <w:tc>
                <w:tcPr>
                  <w:tcW w:w="2488" w:type="dxa"/>
                  <w:shd w:val="clear" w:color="auto" w:fill="auto"/>
                </w:tcPr>
                <w:p w14:paraId="408D55A0" w14:textId="77777777" w:rsidR="00C84C60" w:rsidRPr="002B1D94" w:rsidRDefault="00C84C60" w:rsidP="00EB5D09">
                  <w:pPr>
                    <w:tabs>
                      <w:tab w:val="left" w:pos="-1180"/>
                      <w:tab w:val="left" w:pos="-720"/>
                      <w:tab w:val="left" w:pos="0"/>
                    </w:tabs>
                    <w:rPr>
                      <w:b/>
                      <w:sz w:val="22"/>
                    </w:rPr>
                  </w:pPr>
                  <w:r>
                    <w:rPr>
                      <w:b/>
                      <w:sz w:val="22"/>
                    </w:rPr>
                    <w:t>Copper (10/27/22)</w:t>
                  </w:r>
                </w:p>
              </w:tc>
              <w:tc>
                <w:tcPr>
                  <w:tcW w:w="1136" w:type="dxa"/>
                </w:tcPr>
                <w:p w14:paraId="091AA695"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5E75523B"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55E092CD" w14:textId="77777777" w:rsidR="00C84C60" w:rsidRPr="00370D90" w:rsidRDefault="00C84C60" w:rsidP="00EB5D09">
                  <w:pPr>
                    <w:tabs>
                      <w:tab w:val="left" w:pos="-1180"/>
                      <w:tab w:val="left" w:pos="-720"/>
                      <w:tab w:val="left" w:pos="0"/>
                    </w:tabs>
                    <w:jc w:val="center"/>
                    <w:rPr>
                      <w:sz w:val="22"/>
                    </w:rPr>
                  </w:pPr>
                  <w:r>
                    <w:rPr>
                      <w:sz w:val="22"/>
                    </w:rPr>
                    <w:t>0.35 ppm</w:t>
                  </w:r>
                </w:p>
              </w:tc>
              <w:tc>
                <w:tcPr>
                  <w:tcW w:w="977" w:type="dxa"/>
                  <w:shd w:val="clear" w:color="auto" w:fill="auto"/>
                </w:tcPr>
                <w:p w14:paraId="236C957F"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17AFE681"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522AB3A3"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15B78D6F" w14:textId="77777777" w:rsidR="00C84C60" w:rsidRPr="00DF424A" w:rsidRDefault="00C84C60" w:rsidP="00EB5D09">
            <w:pPr>
              <w:keepLines/>
            </w:pPr>
          </w:p>
        </w:tc>
      </w:tr>
      <w:tr w:rsidR="00C84C60" w14:paraId="79CF1EB4"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159EFE0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615B046D" w14:textId="77777777" w:rsidTr="00EB5D09">
              <w:trPr>
                <w:trHeight w:val="1511"/>
                <w:tblHeader/>
              </w:trPr>
              <w:tc>
                <w:tcPr>
                  <w:tcW w:w="0" w:type="auto"/>
                  <w:shd w:val="clear" w:color="auto" w:fill="D9D9D9" w:themeFill="background2" w:themeFillShade="D9"/>
                  <w:vAlign w:val="center"/>
                </w:tcPr>
                <w:p w14:paraId="0F8337F8"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3806E323"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7B447879"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CCEB418"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0DFB33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50EA3AAA"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4D959E8"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2E9B0597" w14:textId="77777777" w:rsidTr="00EB5D09">
              <w:trPr>
                <w:trHeight w:val="497"/>
                <w:tblHeader/>
              </w:trPr>
              <w:tc>
                <w:tcPr>
                  <w:tcW w:w="0" w:type="auto"/>
                  <w:shd w:val="clear" w:color="auto" w:fill="auto"/>
                </w:tcPr>
                <w:p w14:paraId="7BC5C00E"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6C65DFF4"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B4D920C"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09E89A53" w14:textId="77777777" w:rsidR="00C84C60" w:rsidRPr="008F32BF" w:rsidRDefault="00C84C60" w:rsidP="00EB5D09">
                  <w:pPr>
                    <w:tabs>
                      <w:tab w:val="left" w:pos="-1180"/>
                      <w:tab w:val="left" w:pos="-720"/>
                      <w:tab w:val="left" w:pos="0"/>
                    </w:tabs>
                    <w:jc w:val="center"/>
                    <w:rPr>
                      <w:sz w:val="22"/>
                    </w:rPr>
                  </w:pPr>
                  <w:r>
                    <w:rPr>
                      <w:sz w:val="22"/>
                    </w:rPr>
                    <w:t>1.6 ppb</w:t>
                  </w:r>
                </w:p>
              </w:tc>
              <w:tc>
                <w:tcPr>
                  <w:tcW w:w="0" w:type="auto"/>
                  <w:shd w:val="clear" w:color="auto" w:fill="auto"/>
                </w:tcPr>
                <w:p w14:paraId="3B750BF7"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458C3D9"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C5E0964"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5AF39CB1" w14:textId="77777777" w:rsidTr="00EB5D09">
              <w:trPr>
                <w:trHeight w:val="497"/>
                <w:tblHeader/>
              </w:trPr>
              <w:tc>
                <w:tcPr>
                  <w:tcW w:w="0" w:type="auto"/>
                  <w:shd w:val="clear" w:color="auto" w:fill="auto"/>
                </w:tcPr>
                <w:p w14:paraId="0C32378B"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7D89801F"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F05210C"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2D17F89" w14:textId="77777777" w:rsidR="00C84C60" w:rsidRPr="008F32BF" w:rsidRDefault="00C84C60" w:rsidP="00EB5D09">
                  <w:pPr>
                    <w:tabs>
                      <w:tab w:val="left" w:pos="-1180"/>
                      <w:tab w:val="left" w:pos="-720"/>
                      <w:tab w:val="left" w:pos="0"/>
                    </w:tabs>
                    <w:jc w:val="center"/>
                    <w:rPr>
                      <w:sz w:val="22"/>
                    </w:rPr>
                  </w:pPr>
                  <w:r>
                    <w:rPr>
                      <w:sz w:val="22"/>
                    </w:rPr>
                    <w:t>0.1 ppm</w:t>
                  </w:r>
                </w:p>
              </w:tc>
              <w:tc>
                <w:tcPr>
                  <w:tcW w:w="0" w:type="auto"/>
                  <w:shd w:val="clear" w:color="auto" w:fill="auto"/>
                </w:tcPr>
                <w:p w14:paraId="5A166AC2"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90A72F6"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0E92315"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4ECF17C1" w14:textId="77777777" w:rsidR="00C84C60" w:rsidRDefault="00C84C60" w:rsidP="00EB5D09">
            <w:pPr>
              <w:keepLines/>
            </w:pPr>
          </w:p>
        </w:tc>
      </w:tr>
      <w:tr w:rsidR="00C84C60" w:rsidRPr="00E44EAF" w14:paraId="529527B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19D9C632" w14:textId="77777777" w:rsidR="00C84C60" w:rsidRDefault="00C84C60" w:rsidP="00EB5D09">
            <w:pPr>
              <w:keepLines/>
            </w:pPr>
          </w:p>
        </w:tc>
      </w:tr>
    </w:tbl>
    <w:p w14:paraId="3F221A48" w14:textId="77777777" w:rsidR="00C84C60" w:rsidRPr="00D041E9" w:rsidRDefault="00C84C60" w:rsidP="00C84C60">
      <w:pPr>
        <w:tabs>
          <w:tab w:val="left" w:pos="-1180"/>
          <w:tab w:val="left" w:pos="-720"/>
          <w:tab w:val="left" w:pos="0"/>
        </w:tabs>
        <w:rPr>
          <w:bCs/>
          <w:iCs/>
        </w:rPr>
      </w:pPr>
    </w:p>
    <w:p w14:paraId="1A5724D5"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C2CCFB4"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w:t>
      </w:r>
      <w:r>
        <w:lastRenderedPageBreak/>
        <w:t xml:space="preserve">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7E28FB70" w14:textId="77777777" w:rsidR="00FD2664" w:rsidRDefault="004B4313" w:rsidP="00FD2664">
      <w:pPr>
        <w:pStyle w:val="Heading2"/>
      </w:pPr>
      <w:r>
        <w:t>Learn More a</w:t>
      </w:r>
      <w:r w:rsidR="00FD2664">
        <w:t>bout Your Drinking Water</w:t>
      </w:r>
    </w:p>
    <w:p w14:paraId="0542E9BB" w14:textId="77777777" w:rsidR="00FD2664" w:rsidRDefault="00FD2664" w:rsidP="00246136">
      <w:pPr>
        <w:pStyle w:val="Heading3"/>
        <w:spacing w:before="240"/>
      </w:pPr>
      <w:r>
        <w:t xml:space="preserve">Drinking </w:t>
      </w:r>
      <w:r w:rsidRPr="0038457A">
        <w:t>Water</w:t>
      </w:r>
      <w:r>
        <w:t xml:space="preserve"> Sources</w:t>
      </w:r>
    </w:p>
    <w:p w14:paraId="730D7017" w14:textId="77777777" w:rsidR="00FD2664" w:rsidRDefault="00FD2664" w:rsidP="14614269">
      <w:r>
        <w:t xml:space="preserve">Groundwater supplies 75 percent of Minnesota’s drinking </w:t>
      </w:r>
      <w:proofErr w:type="gramStart"/>
      <w:r>
        <w:t>water</w:t>
      </w:r>
      <w:r w:rsidR="6F1995AD">
        <w:t>, and</w:t>
      </w:r>
      <w:proofErr w:type="gramEnd"/>
      <w:r w:rsidR="6F1995AD">
        <w:t xml:space="preserve"> </w:t>
      </w:r>
      <w:proofErr w:type="gramStart"/>
      <w:r w:rsidR="6F1995AD">
        <w:t>found</w:t>
      </w:r>
      <w:proofErr w:type="gramEnd"/>
      <w:r w:rsidR="6F1995AD">
        <w:t xml:space="preserve"> in aquifers beneath the surface of the land</w:t>
      </w:r>
      <w:r>
        <w:t xml:space="preserve">. </w:t>
      </w:r>
      <w:r w:rsidR="6679CB70">
        <w:t xml:space="preserve">Surface water supplies 25 percent of Minnesota’s drinking water, and </w:t>
      </w:r>
      <w:r>
        <w:t xml:space="preserve">is the water in lakes, rivers, and streams above the surface of the </w:t>
      </w:r>
      <w:proofErr w:type="gramStart"/>
      <w:r>
        <w:t>land..</w:t>
      </w:r>
      <w:proofErr w:type="gramEnd"/>
    </w:p>
    <w:p w14:paraId="6592154B" w14:textId="77777777" w:rsidR="00FD2664" w:rsidRDefault="00FD2664" w:rsidP="00FD2664">
      <w:r>
        <w:t>Contaminants can get in drinking water sources from the natural environment and from people’s daily activities. There are five main types of contaminants in drinking water sources.</w:t>
      </w:r>
    </w:p>
    <w:p w14:paraId="3047D0A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4E1CCB3F"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41AE0049"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B4DC689"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01C663B2"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32EB42AF"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066A1510" w14:textId="77777777" w:rsidR="00FD2664" w:rsidRPr="005B3BCC" w:rsidRDefault="00FD2664" w:rsidP="00FD2664">
      <w:pPr>
        <w:pStyle w:val="ListBullet"/>
        <w:keepLines/>
      </w:pPr>
      <w:r w:rsidRPr="005B3BCC">
        <w:t>Ho</w:t>
      </w:r>
      <w:r>
        <w:t>w Birchwood</w:t>
      </w:r>
      <w:r w:rsidRPr="005B3BCC">
        <w:t xml:space="preserve"> is protecting your drinking water source(s</w:t>
      </w:r>
      <w:proofErr w:type="gramStart"/>
      <w:r w:rsidRPr="005B3BCC">
        <w:t>)</w:t>
      </w:r>
      <w:r>
        <w:t>;</w:t>
      </w:r>
      <w:proofErr w:type="gramEnd"/>
    </w:p>
    <w:p w14:paraId="2EB6B6FE"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3297003F"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65F13FC9"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7328E61F" w14:textId="77777777" w:rsidR="00FD2664" w:rsidRDefault="00FD2664" w:rsidP="00246136">
      <w:pPr>
        <w:pStyle w:val="Heading3"/>
        <w:spacing w:before="240"/>
      </w:pPr>
      <w:r>
        <w:t>Lead in Drinking Water</w:t>
      </w:r>
    </w:p>
    <w:p w14:paraId="031126E1"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440D43B4"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Birchwood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4BEB328C" w14:textId="77777777" w:rsidR="00FD2664" w:rsidRDefault="00FD2664" w:rsidP="00FD2664">
      <w:r w:rsidRPr="00712327">
        <w:rPr>
          <w:rFonts w:eastAsia="Times New Roman"/>
        </w:rPr>
        <w:lastRenderedPageBreak/>
        <w:t>Read below to learn how you can protect yourself fr</w:t>
      </w:r>
      <w:r>
        <w:rPr>
          <w:rFonts w:eastAsia="Times New Roman"/>
        </w:rPr>
        <w:t>om lead in drinking water.</w:t>
      </w:r>
    </w:p>
    <w:p w14:paraId="18FF13C2"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0CA5A65D"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49EBE9B1"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A711612"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5F68AA85"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4D62A56E"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5C714321"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00291E7C"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44833830" w14:textId="77777777" w:rsidR="00FD2664" w:rsidRDefault="00FD2664" w:rsidP="00FD2664">
      <w:pPr>
        <w:rPr>
          <w:rFonts w:eastAsia="Times New Roman"/>
        </w:rPr>
      </w:pPr>
      <w:r>
        <w:rPr>
          <w:rFonts w:eastAsia="Times New Roman"/>
        </w:rPr>
        <w:t>Learn more:</w:t>
      </w:r>
    </w:p>
    <w:p w14:paraId="790F6BAB"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5FA26C5D"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752425B1"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DC1217" w:rsidRPr="00246136" w14:paraId="175D20DB" w14:textId="77777777" w:rsidTr="005F42BA">
        <w:tc>
          <w:tcPr>
            <w:tcW w:w="10435" w:type="dxa"/>
          </w:tcPr>
          <w:p w14:paraId="06C6E573" w14:textId="77777777" w:rsidR="00DC1217" w:rsidRPr="00246136" w:rsidRDefault="00973BE2" w:rsidP="00246136">
            <w:pPr>
              <w:pStyle w:val="Heading2"/>
            </w:pPr>
            <w:r w:rsidRPr="00246136">
              <w:br w:type="page"/>
            </w:r>
            <w:r w:rsidR="00DC1217" w:rsidRPr="00246136">
              <w:rPr>
                <w:rStyle w:val="AddressBlockChar"/>
                <w:sz w:val="40"/>
                <w:szCs w:val="40"/>
              </w:rPr>
              <w:t>Help Protect Our Most Precious Resource – Water</w:t>
            </w:r>
          </w:p>
        </w:tc>
      </w:tr>
    </w:tbl>
    <w:p w14:paraId="6AC22E40" w14:textId="77777777" w:rsidR="005F42BA" w:rsidRDefault="005F42BA"/>
    <w:tbl>
      <w:tblPr>
        <w:tblStyle w:val="TableGrid"/>
        <w:tblW w:w="10440" w:type="dxa"/>
        <w:tblInd w:w="-5" w:type="dxa"/>
        <w:tblLook w:val="04A0" w:firstRow="1" w:lastRow="0" w:firstColumn="1" w:lastColumn="0" w:noHBand="0" w:noVBand="1"/>
      </w:tblPr>
      <w:tblGrid>
        <w:gridCol w:w="10440"/>
      </w:tblGrid>
      <w:tr w:rsidR="00DC1217" w14:paraId="2DBCF8EE" w14:textId="77777777" w:rsidTr="14614269">
        <w:tc>
          <w:tcPr>
            <w:tcW w:w="10440" w:type="dxa"/>
            <w:tcBorders>
              <w:top w:val="nil"/>
              <w:left w:val="nil"/>
              <w:bottom w:val="nil"/>
              <w:right w:val="nil"/>
            </w:tcBorders>
          </w:tcPr>
          <w:p w14:paraId="36752C09" w14:textId="77777777" w:rsidR="00DC1217" w:rsidRPr="00D528F0" w:rsidRDefault="00DC1217" w:rsidP="00246136">
            <w:pPr>
              <w:pStyle w:val="Heading3"/>
              <w:spacing w:before="240"/>
            </w:pPr>
            <w:r>
              <w:lastRenderedPageBreak/>
              <w:t>You Can Prevent Pollution</w:t>
            </w:r>
          </w:p>
          <w:p w14:paraId="20FC85B8" w14:textId="77777777" w:rsidR="00DC1217" w:rsidRPr="00BE6E78" w:rsidRDefault="00DC1217" w:rsidP="00DC1217">
            <w:r>
              <w:t>Many of our daily activities contribute to the pollution of Minnesota’s surface water and groundwater. You can</w:t>
            </w:r>
            <w:r w:rsidRPr="00BE6E78">
              <w:t xml:space="preserve"> help protect </w:t>
            </w:r>
            <w:r>
              <w:t xml:space="preserve">these </w:t>
            </w:r>
            <w:r w:rsidRPr="00BE6E78">
              <w:t>drinkin</w:t>
            </w:r>
            <w:r>
              <w:t>g water sources by taking the</w:t>
            </w:r>
            <w:r w:rsidRPr="00BE6E78">
              <w:t xml:space="preserve"> following actions:</w:t>
            </w:r>
          </w:p>
          <w:p w14:paraId="12A2A46F" w14:textId="77777777" w:rsidR="00DC1217" w:rsidRPr="00F645D6" w:rsidRDefault="00DC1217" w:rsidP="00DC1217">
            <w:pPr>
              <w:pStyle w:val="ListBullet"/>
              <w:keepLines/>
            </w:pPr>
            <w:r>
              <w:t>Lawn and property:</w:t>
            </w:r>
          </w:p>
          <w:p w14:paraId="048AFFD5" w14:textId="77777777" w:rsidR="00DC1217" w:rsidRDefault="00DC1217" w:rsidP="00DC1217">
            <w:pPr>
              <w:pStyle w:val="ListBullet"/>
              <w:keepLines/>
              <w:numPr>
                <w:ilvl w:val="1"/>
                <w:numId w:val="9"/>
              </w:numPr>
            </w:pPr>
            <w:r>
              <w:t>Limit use of herbicides, pesticides, and fertilizers on your property.</w:t>
            </w:r>
          </w:p>
          <w:p w14:paraId="6385491F" w14:textId="77777777" w:rsidR="00DC1217" w:rsidRDefault="00DC1217" w:rsidP="00DC1217">
            <w:pPr>
              <w:pStyle w:val="ListBullet"/>
              <w:keepLines/>
              <w:numPr>
                <w:ilvl w:val="1"/>
                <w:numId w:val="9"/>
              </w:numPr>
            </w:pPr>
            <w:r>
              <w:t xml:space="preserve">Keep soil in place with plants, grass, or rocks. </w:t>
            </w:r>
          </w:p>
          <w:p w14:paraId="0B5313B0" w14:textId="77777777" w:rsidR="00DC1217" w:rsidRDefault="00DC1217" w:rsidP="00DC1217">
            <w:pPr>
              <w:pStyle w:val="ListBullet"/>
              <w:keepLines/>
              <w:numPr>
                <w:ilvl w:val="1"/>
                <w:numId w:val="9"/>
              </w:numPr>
            </w:pPr>
            <w:r>
              <w:t>Cover temporary piles of dirt with a tarp or burlap sack.</w:t>
            </w:r>
          </w:p>
          <w:p w14:paraId="0D271039" w14:textId="77777777" w:rsidR="00DC1217" w:rsidRDefault="00DC1217" w:rsidP="00DC1217">
            <w:pPr>
              <w:pStyle w:val="ListBullet"/>
              <w:keepLines/>
              <w:numPr>
                <w:ilvl w:val="1"/>
                <w:numId w:val="9"/>
              </w:numPr>
            </w:pPr>
            <w:r>
              <w:t xml:space="preserve">Keep leaves and grass </w:t>
            </w:r>
            <w:proofErr w:type="gramStart"/>
            <w:r>
              <w:t>off of</w:t>
            </w:r>
            <w:proofErr w:type="gramEnd"/>
            <w:r>
              <w:t xml:space="preserve"> streets and sidewalks.</w:t>
            </w:r>
          </w:p>
          <w:p w14:paraId="2EA6008C" w14:textId="77777777" w:rsidR="00DC1217" w:rsidRDefault="00DC1217" w:rsidP="00DC1217">
            <w:pPr>
              <w:pStyle w:val="ListBullet"/>
              <w:keepLines/>
              <w:numPr>
                <w:ilvl w:val="1"/>
                <w:numId w:val="9"/>
              </w:numPr>
            </w:pPr>
            <w:r>
              <w:t>Maintain any septic systems, private wells, and storage tanks to prevent leaks. Seal any unused wells.</w:t>
            </w:r>
          </w:p>
          <w:p w14:paraId="316FCA49" w14:textId="77777777" w:rsidR="00DC1217" w:rsidRDefault="00DC1217" w:rsidP="00DC1217">
            <w:pPr>
              <w:pStyle w:val="ListBullet"/>
              <w:keepLines/>
            </w:pPr>
            <w:r w:rsidRPr="000A258E">
              <w:t>Out-of-date medications</w:t>
            </w:r>
            <w:r>
              <w:t xml:space="preserve">: Never flush unwanted or out-of-date medications down the toilet or sink. Always take them to a waste disposal or prescription medication drop-off site. More information is available at </w:t>
            </w:r>
            <w:hyperlink r:id="rId16" w:history="1">
              <w:r>
                <w:rPr>
                  <w:rStyle w:val="Hyperlink"/>
                </w:rPr>
                <w:t>Managing unwanted medications (www.pca.state.mn.us/living-green/managing-unwanted-medications)</w:t>
              </w:r>
            </w:hyperlink>
          </w:p>
          <w:p w14:paraId="28B01AAD" w14:textId="77777777" w:rsidR="00DC1217" w:rsidRDefault="00DC1217" w:rsidP="00DC1217">
            <w:pPr>
              <w:pStyle w:val="ListBullet"/>
              <w:keepLines/>
            </w:pPr>
            <w:r w:rsidRPr="00F3669C">
              <w:t>Hazardous materials</w:t>
            </w:r>
            <w:r>
              <w:t xml:space="preserve">: Safety store hazardous materials such as paint, batteries, herbicides, pesticides, and pool chemicals. Dispose of them at a proper waste disposal facility or drop-off event. Do not dump down storm drains, sink or onto your land. Learn more at: </w:t>
            </w:r>
            <w:hyperlink r:id="rId17" w:history="1">
              <w:r>
                <w:rPr>
                  <w:rStyle w:val="Hyperlink"/>
                </w:rPr>
                <w:t>Keep hazardous waste out of the garbage (http://www.pca.state.mn.us/featured/keep-hazardous-waste-out-garbage)</w:t>
              </w:r>
            </w:hyperlink>
            <w:r>
              <w:t>.</w:t>
            </w:r>
          </w:p>
          <w:p w14:paraId="06FC359E" w14:textId="77777777" w:rsidR="00DC1217" w:rsidRDefault="00DC1217" w:rsidP="00DC1217">
            <w:pPr>
              <w:pStyle w:val="ListBullet"/>
              <w:keepLines/>
            </w:pPr>
            <w:r w:rsidRPr="00F3669C">
              <w:t>Pet waste</w:t>
            </w:r>
            <w:r>
              <w:t>: Pick up after your pet and put waste in the trash.</w:t>
            </w:r>
          </w:p>
          <w:p w14:paraId="14A1AEEA" w14:textId="77777777" w:rsidR="00DC1217" w:rsidRDefault="00DC1217" w:rsidP="00DC1217">
            <w:pPr>
              <w:pStyle w:val="ListBullet"/>
              <w:keepLines/>
            </w:pPr>
            <w:r w:rsidRPr="00F3669C">
              <w:t>Trash</w:t>
            </w:r>
            <w:r>
              <w:t>: Seal trash bags and keep litter out of the street.</w:t>
            </w:r>
          </w:p>
          <w:p w14:paraId="19C0098C" w14:textId="77777777" w:rsidR="00DC1217" w:rsidRDefault="00DC1217" w:rsidP="00DC1217">
            <w:pPr>
              <w:pStyle w:val="ListBullet"/>
              <w:keepLines/>
            </w:pPr>
            <w:r w:rsidRPr="00F11854">
              <w:t xml:space="preserve">Winter ice </w:t>
            </w:r>
            <w:r>
              <w:t xml:space="preserve">removal: Chemicals used to break up the ice are called deicers or anti-icers. They can be harmful to the environment, corrosive to driveways and sidewalks and harmful to plants, </w:t>
            </w:r>
            <w:proofErr w:type="gramStart"/>
            <w:r>
              <w:t>pets</w:t>
            </w:r>
            <w:proofErr w:type="gramEnd"/>
            <w:r>
              <w:t xml:space="preserve"> and humans. Always shovel first, and then only apply deicers/anti-icers lightly if needed. Learn more at </w:t>
            </w:r>
            <w:hyperlink r:id="rId18" w:history="1">
              <w:r w:rsidRPr="0055458C">
                <w:rPr>
                  <w:rStyle w:val="Hyperlink"/>
                </w:rPr>
                <w:t>10 smart salting tips to protect Minnesota waters (https://www.pca.state.mn.us/featured/10-smart-salting-tips-protect-minnesota-waters).</w:t>
              </w:r>
            </w:hyperlink>
          </w:p>
          <w:p w14:paraId="773AFEB9" w14:textId="77777777" w:rsidR="00DC1217" w:rsidRDefault="00DC1217" w:rsidP="00DC1217">
            <w:pPr>
              <w:pStyle w:val="ListBullet"/>
              <w:keepLines/>
            </w:pPr>
            <w:r>
              <w:t>Keep an eye out for car and motor</w:t>
            </w:r>
            <w:r w:rsidRPr="000F5EE2">
              <w:t xml:space="preserve"> fluids</w:t>
            </w:r>
            <w:r>
              <w:t>: Seal or repair any fluid leaks that could run off onto streets and into storm drains. Take used motor oil or other fluids to a neighborhood drop-off site.</w:t>
            </w:r>
          </w:p>
          <w:p w14:paraId="2D4AE842" w14:textId="77777777" w:rsidR="00DC1217" w:rsidRPr="002A08A2" w:rsidRDefault="00DC1217" w:rsidP="00DC1217">
            <w:pPr>
              <w:pStyle w:val="ListBullet"/>
              <w:keepLines/>
            </w:pPr>
            <w:r w:rsidRPr="000F5EE2">
              <w:t>Be a water advocate</w:t>
            </w:r>
            <w:r>
              <w:t xml:space="preserve">: Spread the word; get involved. There are many groups and individuals working to protect water across Minnesota. </w:t>
            </w:r>
          </w:p>
        </w:tc>
      </w:tr>
      <w:bookmarkEnd w:id="0"/>
      <w:bookmarkEnd w:id="1"/>
    </w:tbl>
    <w:p w14:paraId="45A68AD7" w14:textId="77777777" w:rsidR="14614269" w:rsidRDefault="14614269" w:rsidP="14614269">
      <w:pPr>
        <w:rPr>
          <w:rFonts w:ascii="Arial" w:hAnsi="Arial" w:cs="Arial"/>
          <w:sz w:val="20"/>
          <w:szCs w:val="20"/>
        </w:rPr>
      </w:pPr>
    </w:p>
    <w:p w14:paraId="212945C8" w14:textId="77777777" w:rsidR="49786405" w:rsidRDefault="49786405" w:rsidP="49786405">
      <w:pPr>
        <w:rPr>
          <w:sz w:val="16"/>
          <w:szCs w:val="16"/>
        </w:rPr>
      </w:pPr>
    </w:p>
    <w:p w14:paraId="4766BDCE" w14:textId="77777777" w:rsidR="00BB0B78" w:rsidRPr="00FF4431" w:rsidRDefault="00BB0B78" w:rsidP="49786405">
      <w:pPr>
        <w:spacing w:before="0" w:after="0" w:line="259" w:lineRule="auto"/>
        <w:rPr>
          <w:sz w:val="16"/>
          <w:szCs w:val="16"/>
        </w:rPr>
      </w:pPr>
    </w:p>
    <w:p w14:paraId="4B8C71DC" w14:textId="77777777" w:rsidR="00BB0B78" w:rsidRPr="00FF4431" w:rsidRDefault="57446D9E" w:rsidP="49786405">
      <w:pPr>
        <w:spacing w:before="0"/>
      </w:pPr>
      <w:r>
        <w:t xml:space="preserve">Water systems have ongoing infrastructure, </w:t>
      </w:r>
      <w:proofErr w:type="gramStart"/>
      <w:r>
        <w:t>operations</w:t>
      </w:r>
      <w:proofErr w:type="gramEnd"/>
      <w:r>
        <w:t xml:space="preserve"> and maintenance costs in supplying safe drinking water, and many are implementing additional efforts to help insure health equity and manageable water bills with:</w:t>
      </w:r>
    </w:p>
    <w:p w14:paraId="65F8DF95" w14:textId="77777777" w:rsidR="00BB0B78" w:rsidRPr="00FF4431" w:rsidRDefault="57446D9E" w:rsidP="49786405">
      <w:pPr>
        <w:pStyle w:val="ListParagraph"/>
        <w:numPr>
          <w:ilvl w:val="0"/>
          <w:numId w:val="4"/>
        </w:numPr>
      </w:pPr>
      <w:r>
        <w:t>Turn the faucet off while brushing teeth.</w:t>
      </w:r>
    </w:p>
    <w:p w14:paraId="17A64F18" w14:textId="77777777" w:rsidR="00BB0B78" w:rsidRPr="00FF4431" w:rsidRDefault="57446D9E" w:rsidP="49786405">
      <w:pPr>
        <w:pStyle w:val="ListParagraph"/>
        <w:numPr>
          <w:ilvl w:val="0"/>
          <w:numId w:val="4"/>
        </w:numPr>
      </w:pPr>
      <w:r>
        <w:t xml:space="preserve">Shower instead of bathing to reduce water use. </w:t>
      </w:r>
    </w:p>
    <w:p w14:paraId="6234F7C6" w14:textId="77777777" w:rsidR="00BB0B78" w:rsidRPr="00FF4431" w:rsidRDefault="57446D9E" w:rsidP="49786405">
      <w:pPr>
        <w:pStyle w:val="ListParagraph"/>
        <w:numPr>
          <w:ilvl w:val="0"/>
          <w:numId w:val="4"/>
        </w:numPr>
      </w:pPr>
      <w:r>
        <w:t>Fix running toilets by replacing flapper valves.</w:t>
      </w:r>
    </w:p>
    <w:p w14:paraId="25125FA4"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4CEBE1F5" w14:textId="77777777" w:rsidR="00BB0B78" w:rsidRPr="00FF4431" w:rsidRDefault="00BB0B78" w:rsidP="49786405">
      <w:pPr>
        <w:rPr>
          <w:rFonts w:ascii="Arial" w:hAnsi="Arial" w:cs="Arial"/>
          <w:sz w:val="20"/>
          <w:szCs w:val="20"/>
        </w:rPr>
      </w:pPr>
    </w:p>
    <w:p w14:paraId="10484382"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lastRenderedPageBreak/>
        <w:t>Our water system partners with others to help consumers with limited resources make payments to their water bills.</w:t>
      </w:r>
    </w:p>
    <w:p w14:paraId="3F527AFD"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5A450E8E" w14:textId="77777777" w:rsidR="49786405" w:rsidRDefault="49786405" w:rsidP="49786405">
      <w:pPr>
        <w:rPr>
          <w:rFonts w:ascii="Arial" w:hAnsi="Arial" w:cs="Arial"/>
          <w:sz w:val="20"/>
          <w:szCs w:val="20"/>
        </w:rPr>
      </w:pPr>
    </w:p>
    <w:p w14:paraId="264C44D7" w14:textId="77777777" w:rsidR="49786405" w:rsidRDefault="49786405" w:rsidP="49786405">
      <w:pPr>
        <w:rPr>
          <w:rFonts w:ascii="Arial" w:hAnsi="Arial" w:cs="Arial"/>
          <w:sz w:val="20"/>
          <w:szCs w:val="20"/>
        </w:rPr>
      </w:pPr>
    </w:p>
    <w:p w14:paraId="56F9AB1E" w14:textId="77777777" w:rsidR="623890BB" w:rsidRDefault="623890BB" w:rsidP="49786405">
      <w:pPr>
        <w:rPr>
          <w:rFonts w:asciiTheme="minorHAnsi" w:hAnsiTheme="minorHAnsi"/>
          <w:szCs w:val="24"/>
        </w:rPr>
      </w:pPr>
    </w:p>
    <w:p w14:paraId="432694E2" w14:textId="77777777" w:rsidR="49786405" w:rsidRDefault="49786405" w:rsidP="49786405">
      <w:pPr>
        <w:rPr>
          <w:rFonts w:asciiTheme="minorHAnsi" w:hAnsiTheme="minorHAnsi"/>
          <w:szCs w:val="24"/>
        </w:rPr>
      </w:pPr>
    </w:p>
    <w:p w14:paraId="3A2A8D06" w14:textId="77777777" w:rsidR="49786405" w:rsidRDefault="49786405" w:rsidP="49786405">
      <w:pPr>
        <w:rPr>
          <w:rFonts w:ascii="Arial" w:eastAsia="Arial" w:hAnsi="Arial" w:cs="Arial"/>
          <w:sz w:val="16"/>
          <w:szCs w:val="16"/>
        </w:rPr>
      </w:pPr>
    </w:p>
    <w:sectPr w:rsidR="49786405" w:rsidSect="00925726">
      <w:headerReference w:type="default" r:id="rId19"/>
      <w:footerReference w:type="default" r:id="rId20"/>
      <w:footerReference w:type="first" r:id="rId21"/>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BEAC" w14:textId="77777777" w:rsidR="00925726" w:rsidRDefault="00925726" w:rsidP="00D36495">
      <w:r>
        <w:separator/>
      </w:r>
    </w:p>
  </w:endnote>
  <w:endnote w:type="continuationSeparator" w:id="0">
    <w:p w14:paraId="6C77828F" w14:textId="77777777" w:rsidR="00925726" w:rsidRDefault="0092572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1820003</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1820003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CA54" w14:textId="77777777" w:rsidR="00925726" w:rsidRDefault="00925726" w:rsidP="00D36495">
      <w:r>
        <w:separator/>
      </w:r>
    </w:p>
  </w:footnote>
  <w:footnote w:type="continuationSeparator" w:id="0">
    <w:p w14:paraId="441AB234" w14:textId="77777777" w:rsidR="00925726" w:rsidRDefault="0092572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0E3EBF46"/>
    <w:lvl w:ilvl="0" w:tplc="83606E2A">
      <w:start w:val="1"/>
      <w:numFmt w:val="bullet"/>
      <w:lvlText w:val="o"/>
      <w:lvlJc w:val="left"/>
      <w:pPr>
        <w:ind w:left="1080" w:hanging="360"/>
      </w:pPr>
      <w:rPr>
        <w:rFonts w:ascii="Courier New" w:hAnsi="Courier New" w:hint="default"/>
      </w:rPr>
    </w:lvl>
    <w:lvl w:ilvl="1" w:tplc="D8F25184">
      <w:start w:val="1"/>
      <w:numFmt w:val="bullet"/>
      <w:lvlText w:val="o"/>
      <w:lvlJc w:val="left"/>
      <w:pPr>
        <w:ind w:left="1800" w:hanging="360"/>
      </w:pPr>
      <w:rPr>
        <w:rFonts w:ascii="Courier New" w:hAnsi="Courier New" w:hint="default"/>
      </w:rPr>
    </w:lvl>
    <w:lvl w:ilvl="2" w:tplc="8C32CDB2">
      <w:start w:val="1"/>
      <w:numFmt w:val="bullet"/>
      <w:lvlText w:val=""/>
      <w:lvlJc w:val="left"/>
      <w:pPr>
        <w:ind w:left="2520" w:hanging="360"/>
      </w:pPr>
      <w:rPr>
        <w:rFonts w:ascii="Wingdings" w:hAnsi="Wingdings" w:hint="default"/>
      </w:rPr>
    </w:lvl>
    <w:lvl w:ilvl="3" w:tplc="D3585D5E">
      <w:start w:val="1"/>
      <w:numFmt w:val="bullet"/>
      <w:lvlText w:val=""/>
      <w:lvlJc w:val="left"/>
      <w:pPr>
        <w:ind w:left="3240" w:hanging="360"/>
      </w:pPr>
      <w:rPr>
        <w:rFonts w:ascii="Symbol" w:hAnsi="Symbol" w:hint="default"/>
      </w:rPr>
    </w:lvl>
    <w:lvl w:ilvl="4" w:tplc="397A5192">
      <w:start w:val="1"/>
      <w:numFmt w:val="bullet"/>
      <w:lvlText w:val="o"/>
      <w:lvlJc w:val="left"/>
      <w:pPr>
        <w:ind w:left="3960" w:hanging="360"/>
      </w:pPr>
      <w:rPr>
        <w:rFonts w:ascii="Courier New" w:hAnsi="Courier New" w:hint="default"/>
      </w:rPr>
    </w:lvl>
    <w:lvl w:ilvl="5" w:tplc="D06A147A">
      <w:start w:val="1"/>
      <w:numFmt w:val="bullet"/>
      <w:lvlText w:val=""/>
      <w:lvlJc w:val="left"/>
      <w:pPr>
        <w:ind w:left="4680" w:hanging="360"/>
      </w:pPr>
      <w:rPr>
        <w:rFonts w:ascii="Wingdings" w:hAnsi="Wingdings" w:hint="default"/>
      </w:rPr>
    </w:lvl>
    <w:lvl w:ilvl="6" w:tplc="EC2628C2">
      <w:start w:val="1"/>
      <w:numFmt w:val="bullet"/>
      <w:lvlText w:val=""/>
      <w:lvlJc w:val="left"/>
      <w:pPr>
        <w:ind w:left="5400" w:hanging="360"/>
      </w:pPr>
      <w:rPr>
        <w:rFonts w:ascii="Symbol" w:hAnsi="Symbol" w:hint="default"/>
      </w:rPr>
    </w:lvl>
    <w:lvl w:ilvl="7" w:tplc="23AE3F1E">
      <w:start w:val="1"/>
      <w:numFmt w:val="bullet"/>
      <w:lvlText w:val="o"/>
      <w:lvlJc w:val="left"/>
      <w:pPr>
        <w:ind w:left="6120" w:hanging="360"/>
      </w:pPr>
      <w:rPr>
        <w:rFonts w:ascii="Courier New" w:hAnsi="Courier New" w:hint="default"/>
      </w:rPr>
    </w:lvl>
    <w:lvl w:ilvl="8" w:tplc="AE14B560">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A4E44884"/>
    <w:lvl w:ilvl="0" w:tplc="5E1CF238">
      <w:start w:val="1"/>
      <w:numFmt w:val="bullet"/>
      <w:lvlText w:val=""/>
      <w:lvlJc w:val="left"/>
      <w:pPr>
        <w:ind w:left="720" w:hanging="360"/>
      </w:pPr>
      <w:rPr>
        <w:rFonts w:ascii="Wingdings" w:hAnsi="Wingdings" w:hint="default"/>
      </w:rPr>
    </w:lvl>
    <w:lvl w:ilvl="1" w:tplc="123868C2">
      <w:start w:val="1"/>
      <w:numFmt w:val="bullet"/>
      <w:lvlText w:val="o"/>
      <w:lvlJc w:val="left"/>
      <w:pPr>
        <w:ind w:left="1440" w:hanging="360"/>
      </w:pPr>
      <w:rPr>
        <w:rFonts w:ascii="Courier New" w:hAnsi="Courier New" w:hint="default"/>
      </w:rPr>
    </w:lvl>
    <w:lvl w:ilvl="2" w:tplc="45764810">
      <w:start w:val="1"/>
      <w:numFmt w:val="bullet"/>
      <w:lvlText w:val=""/>
      <w:lvlJc w:val="left"/>
      <w:pPr>
        <w:ind w:left="2160" w:hanging="360"/>
      </w:pPr>
      <w:rPr>
        <w:rFonts w:ascii="Wingdings" w:hAnsi="Wingdings" w:hint="default"/>
      </w:rPr>
    </w:lvl>
    <w:lvl w:ilvl="3" w:tplc="075497DE">
      <w:start w:val="1"/>
      <w:numFmt w:val="bullet"/>
      <w:lvlText w:val=""/>
      <w:lvlJc w:val="left"/>
      <w:pPr>
        <w:ind w:left="2880" w:hanging="360"/>
      </w:pPr>
      <w:rPr>
        <w:rFonts w:ascii="Symbol" w:hAnsi="Symbol" w:hint="default"/>
      </w:rPr>
    </w:lvl>
    <w:lvl w:ilvl="4" w:tplc="89D414F4">
      <w:start w:val="1"/>
      <w:numFmt w:val="bullet"/>
      <w:lvlText w:val="o"/>
      <w:lvlJc w:val="left"/>
      <w:pPr>
        <w:ind w:left="3600" w:hanging="360"/>
      </w:pPr>
      <w:rPr>
        <w:rFonts w:ascii="Courier New" w:hAnsi="Courier New" w:hint="default"/>
      </w:rPr>
    </w:lvl>
    <w:lvl w:ilvl="5" w:tplc="12000292">
      <w:start w:val="1"/>
      <w:numFmt w:val="bullet"/>
      <w:lvlText w:val=""/>
      <w:lvlJc w:val="left"/>
      <w:pPr>
        <w:ind w:left="4320" w:hanging="360"/>
      </w:pPr>
      <w:rPr>
        <w:rFonts w:ascii="Wingdings" w:hAnsi="Wingdings" w:hint="default"/>
      </w:rPr>
    </w:lvl>
    <w:lvl w:ilvl="6" w:tplc="E79CD554">
      <w:start w:val="1"/>
      <w:numFmt w:val="bullet"/>
      <w:lvlText w:val=""/>
      <w:lvlJc w:val="left"/>
      <w:pPr>
        <w:ind w:left="5040" w:hanging="360"/>
      </w:pPr>
      <w:rPr>
        <w:rFonts w:ascii="Symbol" w:hAnsi="Symbol" w:hint="default"/>
      </w:rPr>
    </w:lvl>
    <w:lvl w:ilvl="7" w:tplc="8582350C">
      <w:start w:val="1"/>
      <w:numFmt w:val="bullet"/>
      <w:lvlText w:val="o"/>
      <w:lvlJc w:val="left"/>
      <w:pPr>
        <w:ind w:left="5760" w:hanging="360"/>
      </w:pPr>
      <w:rPr>
        <w:rFonts w:ascii="Courier New" w:hAnsi="Courier New" w:hint="default"/>
      </w:rPr>
    </w:lvl>
    <w:lvl w:ilvl="8" w:tplc="7EE0FFC0">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EC506D6C"/>
    <w:lvl w:ilvl="0" w:tplc="2868659C">
      <w:start w:val="1"/>
      <w:numFmt w:val="bullet"/>
      <w:lvlText w:val=""/>
      <w:lvlJc w:val="left"/>
      <w:pPr>
        <w:ind w:left="720" w:hanging="360"/>
      </w:pPr>
      <w:rPr>
        <w:rFonts w:ascii="Wingdings" w:hAnsi="Wingdings" w:hint="default"/>
      </w:rPr>
    </w:lvl>
    <w:lvl w:ilvl="1" w:tplc="A6129CEA">
      <w:start w:val="1"/>
      <w:numFmt w:val="bullet"/>
      <w:lvlText w:val="o"/>
      <w:lvlJc w:val="left"/>
      <w:pPr>
        <w:ind w:left="1440" w:hanging="360"/>
      </w:pPr>
      <w:rPr>
        <w:rFonts w:ascii="Courier New" w:hAnsi="Courier New" w:hint="default"/>
      </w:rPr>
    </w:lvl>
    <w:lvl w:ilvl="2" w:tplc="30605DBE">
      <w:start w:val="1"/>
      <w:numFmt w:val="bullet"/>
      <w:lvlText w:val=""/>
      <w:lvlJc w:val="left"/>
      <w:pPr>
        <w:ind w:left="2160" w:hanging="360"/>
      </w:pPr>
      <w:rPr>
        <w:rFonts w:ascii="Wingdings" w:hAnsi="Wingdings" w:hint="default"/>
      </w:rPr>
    </w:lvl>
    <w:lvl w:ilvl="3" w:tplc="9AB24102">
      <w:start w:val="1"/>
      <w:numFmt w:val="bullet"/>
      <w:lvlText w:val=""/>
      <w:lvlJc w:val="left"/>
      <w:pPr>
        <w:ind w:left="2880" w:hanging="360"/>
      </w:pPr>
      <w:rPr>
        <w:rFonts w:ascii="Symbol" w:hAnsi="Symbol" w:hint="default"/>
      </w:rPr>
    </w:lvl>
    <w:lvl w:ilvl="4" w:tplc="3E688294">
      <w:start w:val="1"/>
      <w:numFmt w:val="bullet"/>
      <w:lvlText w:val="o"/>
      <w:lvlJc w:val="left"/>
      <w:pPr>
        <w:ind w:left="3600" w:hanging="360"/>
      </w:pPr>
      <w:rPr>
        <w:rFonts w:ascii="Courier New" w:hAnsi="Courier New" w:hint="default"/>
      </w:rPr>
    </w:lvl>
    <w:lvl w:ilvl="5" w:tplc="0EC6FD54">
      <w:start w:val="1"/>
      <w:numFmt w:val="bullet"/>
      <w:lvlText w:val=""/>
      <w:lvlJc w:val="left"/>
      <w:pPr>
        <w:ind w:left="4320" w:hanging="360"/>
      </w:pPr>
      <w:rPr>
        <w:rFonts w:ascii="Wingdings" w:hAnsi="Wingdings" w:hint="default"/>
      </w:rPr>
    </w:lvl>
    <w:lvl w:ilvl="6" w:tplc="34EA49C0">
      <w:start w:val="1"/>
      <w:numFmt w:val="bullet"/>
      <w:lvlText w:val=""/>
      <w:lvlJc w:val="left"/>
      <w:pPr>
        <w:ind w:left="5040" w:hanging="360"/>
      </w:pPr>
      <w:rPr>
        <w:rFonts w:ascii="Symbol" w:hAnsi="Symbol" w:hint="default"/>
      </w:rPr>
    </w:lvl>
    <w:lvl w:ilvl="7" w:tplc="AB845A62">
      <w:start w:val="1"/>
      <w:numFmt w:val="bullet"/>
      <w:lvlText w:val="o"/>
      <w:lvlJc w:val="left"/>
      <w:pPr>
        <w:ind w:left="5760" w:hanging="360"/>
      </w:pPr>
      <w:rPr>
        <w:rFonts w:ascii="Courier New" w:hAnsi="Courier New" w:hint="default"/>
      </w:rPr>
    </w:lvl>
    <w:lvl w:ilvl="8" w:tplc="CD3ADA92">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E3AE2196"/>
    <w:lvl w:ilvl="0" w:tplc="FA84311A">
      <w:start w:val="1"/>
      <w:numFmt w:val="bullet"/>
      <w:lvlText w:val=""/>
      <w:lvlJc w:val="left"/>
      <w:pPr>
        <w:ind w:left="720" w:hanging="360"/>
      </w:pPr>
      <w:rPr>
        <w:rFonts w:ascii="Wingdings" w:hAnsi="Wingdings" w:hint="default"/>
      </w:rPr>
    </w:lvl>
    <w:lvl w:ilvl="1" w:tplc="1132F52C">
      <w:start w:val="1"/>
      <w:numFmt w:val="bullet"/>
      <w:lvlText w:val="o"/>
      <w:lvlJc w:val="left"/>
      <w:pPr>
        <w:ind w:left="1440" w:hanging="360"/>
      </w:pPr>
      <w:rPr>
        <w:rFonts w:ascii="Courier New" w:hAnsi="Courier New" w:hint="default"/>
      </w:rPr>
    </w:lvl>
    <w:lvl w:ilvl="2" w:tplc="5A0AC99C">
      <w:start w:val="1"/>
      <w:numFmt w:val="bullet"/>
      <w:lvlText w:val=""/>
      <w:lvlJc w:val="left"/>
      <w:pPr>
        <w:ind w:left="2160" w:hanging="360"/>
      </w:pPr>
      <w:rPr>
        <w:rFonts w:ascii="Wingdings" w:hAnsi="Wingdings" w:hint="default"/>
      </w:rPr>
    </w:lvl>
    <w:lvl w:ilvl="3" w:tplc="172EB484">
      <w:start w:val="1"/>
      <w:numFmt w:val="bullet"/>
      <w:lvlText w:val=""/>
      <w:lvlJc w:val="left"/>
      <w:pPr>
        <w:ind w:left="2880" w:hanging="360"/>
      </w:pPr>
      <w:rPr>
        <w:rFonts w:ascii="Symbol" w:hAnsi="Symbol" w:hint="default"/>
      </w:rPr>
    </w:lvl>
    <w:lvl w:ilvl="4" w:tplc="C2585B74">
      <w:start w:val="1"/>
      <w:numFmt w:val="bullet"/>
      <w:lvlText w:val="o"/>
      <w:lvlJc w:val="left"/>
      <w:pPr>
        <w:ind w:left="3600" w:hanging="360"/>
      </w:pPr>
      <w:rPr>
        <w:rFonts w:ascii="Courier New" w:hAnsi="Courier New" w:hint="default"/>
      </w:rPr>
    </w:lvl>
    <w:lvl w:ilvl="5" w:tplc="D2F6E296">
      <w:start w:val="1"/>
      <w:numFmt w:val="bullet"/>
      <w:lvlText w:val=""/>
      <w:lvlJc w:val="left"/>
      <w:pPr>
        <w:ind w:left="4320" w:hanging="360"/>
      </w:pPr>
      <w:rPr>
        <w:rFonts w:ascii="Wingdings" w:hAnsi="Wingdings" w:hint="default"/>
      </w:rPr>
    </w:lvl>
    <w:lvl w:ilvl="6" w:tplc="30209F58">
      <w:start w:val="1"/>
      <w:numFmt w:val="bullet"/>
      <w:lvlText w:val=""/>
      <w:lvlJc w:val="left"/>
      <w:pPr>
        <w:ind w:left="5040" w:hanging="360"/>
      </w:pPr>
      <w:rPr>
        <w:rFonts w:ascii="Symbol" w:hAnsi="Symbol" w:hint="default"/>
      </w:rPr>
    </w:lvl>
    <w:lvl w:ilvl="7" w:tplc="5D02B3FC">
      <w:start w:val="1"/>
      <w:numFmt w:val="bullet"/>
      <w:lvlText w:val="o"/>
      <w:lvlJc w:val="left"/>
      <w:pPr>
        <w:ind w:left="5760" w:hanging="360"/>
      </w:pPr>
      <w:rPr>
        <w:rFonts w:ascii="Courier New" w:hAnsi="Courier New" w:hint="default"/>
      </w:rPr>
    </w:lvl>
    <w:lvl w:ilvl="8" w:tplc="7206C6F0">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652A9210"/>
    <w:lvl w:ilvl="0" w:tplc="F65A8C5C">
      <w:start w:val="1"/>
      <w:numFmt w:val="bullet"/>
      <w:lvlText w:val="o"/>
      <w:lvlJc w:val="left"/>
      <w:pPr>
        <w:ind w:left="1080" w:hanging="360"/>
      </w:pPr>
      <w:rPr>
        <w:rFonts w:ascii="Courier New" w:hAnsi="Courier New" w:hint="default"/>
      </w:rPr>
    </w:lvl>
    <w:lvl w:ilvl="1" w:tplc="1D885CD4">
      <w:start w:val="1"/>
      <w:numFmt w:val="bullet"/>
      <w:lvlText w:val="o"/>
      <w:lvlJc w:val="left"/>
      <w:pPr>
        <w:ind w:left="1800" w:hanging="360"/>
      </w:pPr>
      <w:rPr>
        <w:rFonts w:ascii="Courier New" w:hAnsi="Courier New" w:hint="default"/>
      </w:rPr>
    </w:lvl>
    <w:lvl w:ilvl="2" w:tplc="A622E24A">
      <w:start w:val="1"/>
      <w:numFmt w:val="bullet"/>
      <w:lvlText w:val=""/>
      <w:lvlJc w:val="left"/>
      <w:pPr>
        <w:ind w:left="2520" w:hanging="360"/>
      </w:pPr>
      <w:rPr>
        <w:rFonts w:ascii="Wingdings" w:hAnsi="Wingdings" w:hint="default"/>
      </w:rPr>
    </w:lvl>
    <w:lvl w:ilvl="3" w:tplc="D36C75EA">
      <w:start w:val="1"/>
      <w:numFmt w:val="bullet"/>
      <w:lvlText w:val=""/>
      <w:lvlJc w:val="left"/>
      <w:pPr>
        <w:ind w:left="3240" w:hanging="360"/>
      </w:pPr>
      <w:rPr>
        <w:rFonts w:ascii="Symbol" w:hAnsi="Symbol" w:hint="default"/>
      </w:rPr>
    </w:lvl>
    <w:lvl w:ilvl="4" w:tplc="35486BEE">
      <w:start w:val="1"/>
      <w:numFmt w:val="bullet"/>
      <w:lvlText w:val="o"/>
      <w:lvlJc w:val="left"/>
      <w:pPr>
        <w:ind w:left="3960" w:hanging="360"/>
      </w:pPr>
      <w:rPr>
        <w:rFonts w:ascii="Courier New" w:hAnsi="Courier New" w:hint="default"/>
      </w:rPr>
    </w:lvl>
    <w:lvl w:ilvl="5" w:tplc="F6BE6BE0">
      <w:start w:val="1"/>
      <w:numFmt w:val="bullet"/>
      <w:lvlText w:val=""/>
      <w:lvlJc w:val="left"/>
      <w:pPr>
        <w:ind w:left="4680" w:hanging="360"/>
      </w:pPr>
      <w:rPr>
        <w:rFonts w:ascii="Wingdings" w:hAnsi="Wingdings" w:hint="default"/>
      </w:rPr>
    </w:lvl>
    <w:lvl w:ilvl="6" w:tplc="D8723FA0">
      <w:start w:val="1"/>
      <w:numFmt w:val="bullet"/>
      <w:lvlText w:val=""/>
      <w:lvlJc w:val="left"/>
      <w:pPr>
        <w:ind w:left="5400" w:hanging="360"/>
      </w:pPr>
      <w:rPr>
        <w:rFonts w:ascii="Symbol" w:hAnsi="Symbol" w:hint="default"/>
      </w:rPr>
    </w:lvl>
    <w:lvl w:ilvl="7" w:tplc="54CEED70">
      <w:start w:val="1"/>
      <w:numFmt w:val="bullet"/>
      <w:lvlText w:val="o"/>
      <w:lvlJc w:val="left"/>
      <w:pPr>
        <w:ind w:left="6120" w:hanging="360"/>
      </w:pPr>
      <w:rPr>
        <w:rFonts w:ascii="Courier New" w:hAnsi="Courier New" w:hint="default"/>
      </w:rPr>
    </w:lvl>
    <w:lvl w:ilvl="8" w:tplc="9AC281A2">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514107402">
    <w:abstractNumId w:val="28"/>
  </w:num>
  <w:num w:numId="2" w16cid:durableId="723874201">
    <w:abstractNumId w:val="36"/>
  </w:num>
  <w:num w:numId="3" w16cid:durableId="973173959">
    <w:abstractNumId w:val="35"/>
  </w:num>
  <w:num w:numId="4" w16cid:durableId="1046101695">
    <w:abstractNumId w:val="18"/>
  </w:num>
  <w:num w:numId="5" w16cid:durableId="268202292">
    <w:abstractNumId w:val="21"/>
  </w:num>
  <w:num w:numId="6" w16cid:durableId="1634406975">
    <w:abstractNumId w:val="1"/>
  </w:num>
  <w:num w:numId="7" w16cid:durableId="314190552">
    <w:abstractNumId w:val="0"/>
  </w:num>
  <w:num w:numId="8" w16cid:durableId="400905719">
    <w:abstractNumId w:val="15"/>
  </w:num>
  <w:num w:numId="9" w16cid:durableId="1981809389">
    <w:abstractNumId w:val="38"/>
  </w:num>
  <w:num w:numId="10" w16cid:durableId="1210804076">
    <w:abstractNumId w:val="5"/>
  </w:num>
  <w:num w:numId="11" w16cid:durableId="1171412500">
    <w:abstractNumId w:val="3"/>
  </w:num>
  <w:num w:numId="12" w16cid:durableId="1612083653">
    <w:abstractNumId w:val="7"/>
  </w:num>
  <w:num w:numId="13" w16cid:durableId="1586453473">
    <w:abstractNumId w:val="26"/>
  </w:num>
  <w:num w:numId="14" w16cid:durableId="1116946637">
    <w:abstractNumId w:val="11"/>
  </w:num>
  <w:num w:numId="15" w16cid:durableId="466356947">
    <w:abstractNumId w:val="23"/>
  </w:num>
  <w:num w:numId="16" w16cid:durableId="1955746434">
    <w:abstractNumId w:val="13"/>
  </w:num>
  <w:num w:numId="17" w16cid:durableId="2146308784">
    <w:abstractNumId w:val="16"/>
  </w:num>
  <w:num w:numId="18" w16cid:durableId="202906427">
    <w:abstractNumId w:val="34"/>
  </w:num>
  <w:num w:numId="19" w16cid:durableId="1338922068">
    <w:abstractNumId w:val="9"/>
  </w:num>
  <w:num w:numId="20" w16cid:durableId="736824019">
    <w:abstractNumId w:val="37"/>
  </w:num>
  <w:num w:numId="21" w16cid:durableId="1992055462">
    <w:abstractNumId w:val="10"/>
  </w:num>
  <w:num w:numId="22" w16cid:durableId="1834104176">
    <w:abstractNumId w:val="33"/>
  </w:num>
  <w:num w:numId="23" w16cid:durableId="1888570049">
    <w:abstractNumId w:val="31"/>
  </w:num>
  <w:num w:numId="24" w16cid:durableId="1855682468">
    <w:abstractNumId w:val="29"/>
  </w:num>
  <w:num w:numId="25" w16cid:durableId="1873305902">
    <w:abstractNumId w:val="8"/>
  </w:num>
  <w:num w:numId="26" w16cid:durableId="1107889684">
    <w:abstractNumId w:val="25"/>
  </w:num>
  <w:num w:numId="27" w16cid:durableId="1550259708">
    <w:abstractNumId w:val="19"/>
  </w:num>
  <w:num w:numId="28" w16cid:durableId="676152465">
    <w:abstractNumId w:val="14"/>
  </w:num>
  <w:num w:numId="29" w16cid:durableId="1782995300">
    <w:abstractNumId w:val="4"/>
  </w:num>
  <w:num w:numId="30" w16cid:durableId="739250261">
    <w:abstractNumId w:val="6"/>
  </w:num>
  <w:num w:numId="31" w16cid:durableId="488717770">
    <w:abstractNumId w:val="32"/>
  </w:num>
  <w:num w:numId="32" w16cid:durableId="1496843047">
    <w:abstractNumId w:val="20"/>
  </w:num>
  <w:num w:numId="33" w16cid:durableId="1040781754">
    <w:abstractNumId w:val="24"/>
  </w:num>
  <w:num w:numId="34" w16cid:durableId="237059234">
    <w:abstractNumId w:val="30"/>
  </w:num>
  <w:num w:numId="35" w16cid:durableId="366564223">
    <w:abstractNumId w:val="17"/>
  </w:num>
  <w:num w:numId="36" w16cid:durableId="1586914900">
    <w:abstractNumId w:val="12"/>
  </w:num>
  <w:num w:numId="37" w16cid:durableId="975765755">
    <w:abstractNumId w:val="27"/>
  </w:num>
  <w:num w:numId="38" w16cid:durableId="1854303050">
    <w:abstractNumId w:val="22"/>
  </w:num>
  <w:num w:numId="39" w16cid:durableId="199001198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5726"/>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060"/>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5396"/>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hyperlink" Target="https://www.pca.state.mn.us/featured/10-smart-salting-tips-protect-minnesota-wate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hyperlink" Target="http://www.pca.state.mn.us/featured/keep-hazardous-waste-out-garbage" TargetMode="External"/><Relationship Id="rId2" Type="http://schemas.openxmlformats.org/officeDocument/2006/relationships/numbering" Target="numbering.xml"/><Relationship Id="rId16" Type="http://schemas.openxmlformats.org/officeDocument/2006/relationships/hyperlink" Target="http://www.pca.state.mn.us/living-green/managing-unwanted-med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23" Type="http://schemas.openxmlformats.org/officeDocument/2006/relationships/theme" Target="theme/theme1.xml"/><Relationship Id="rId10" Type="http://schemas.openxmlformats.org/officeDocument/2006/relationships/hyperlink" Target="https://www.mprnews.org/story/2016/06/24/npr-find-lead-pipes-in-your-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7</Pages>
  <Words>2323</Words>
  <Characters>13247</Characters>
  <Application>Microsoft Office Word</Application>
  <DocSecurity>0</DocSecurity>
  <Lines>110</Lines>
  <Paragraphs>31</Paragraphs>
  <ScaleCrop>false</ScaleCrop>
  <Company>Minnesota Department of Health</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Rebecca Kellen</cp:lastModifiedBy>
  <cp:revision>13</cp:revision>
  <cp:lastPrinted>2016-12-14T18:03:00Z</cp:lastPrinted>
  <dcterms:created xsi:type="dcterms:W3CDTF">2020-02-21T17:43:00Z</dcterms:created>
  <dcterms:modified xsi:type="dcterms:W3CDTF">2024-04-08T15:45:00Z</dcterms:modified>
</cp:coreProperties>
</file>