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5C47D8" w:rsidRDefault="007C4A58" w:rsidP="00430F24">
      <w:pPr>
        <w:pStyle w:val="Heading1"/>
        <w:ind w:left="0"/>
        <w:jc w:val="center"/>
      </w:pPr>
      <w:bookmarkStart w:id="0" w:name="_TOC_250015"/>
      <w:r w:rsidRPr="005C47D8">
        <w:t>904</w:t>
      </w:r>
      <w:r w:rsidR="00430F24" w:rsidRPr="005C47D8">
        <w:t xml:space="preserve">. </w:t>
      </w:r>
      <w:bookmarkEnd w:id="0"/>
      <w:r w:rsidR="00430F24" w:rsidRPr="005C47D8">
        <w:t xml:space="preserve">CABLE FRANCHISE: </w:t>
      </w:r>
      <w:r w:rsidRPr="005C47D8">
        <w:t>REMOVAL OR ABANDONMENT OF SYSTEM</w:t>
      </w:r>
    </w:p>
    <w:p w:rsidR="00407FB6" w:rsidRPr="005C47D8" w:rsidRDefault="00407FB6" w:rsidP="00407FB6">
      <w:pPr>
        <w:rPr>
          <w:rFonts w:ascii="Times New Roman" w:eastAsia="Times New Roman" w:hAnsi="Times New Roman" w:cs="Times New Roman"/>
          <w:b/>
          <w:bCs/>
          <w:sz w:val="24"/>
          <w:szCs w:val="24"/>
        </w:rPr>
      </w:pPr>
    </w:p>
    <w:p w:rsidR="009E6008" w:rsidRPr="005C47D8" w:rsidRDefault="007C4A58" w:rsidP="007C4A58">
      <w:pPr>
        <w:rPr>
          <w:rFonts w:ascii="Times New Roman" w:eastAsia="Times New Roman" w:hAnsi="Times New Roman" w:cs="Times New Roman"/>
          <w:bCs/>
          <w:sz w:val="24"/>
          <w:szCs w:val="24"/>
          <w:u w:val="single"/>
        </w:rPr>
      </w:pPr>
      <w:r w:rsidRPr="005C47D8">
        <w:rPr>
          <w:rFonts w:ascii="Times New Roman" w:eastAsia="Times New Roman" w:hAnsi="Times New Roman" w:cs="Times New Roman"/>
          <w:bCs/>
          <w:sz w:val="24"/>
          <w:szCs w:val="24"/>
        </w:rPr>
        <w:t>904</w:t>
      </w:r>
      <w:r w:rsidR="0007530D" w:rsidRPr="005C47D8">
        <w:rPr>
          <w:rFonts w:ascii="Times New Roman" w:eastAsia="Times New Roman" w:hAnsi="Times New Roman" w:cs="Times New Roman"/>
          <w:bCs/>
          <w:sz w:val="24"/>
          <w:szCs w:val="24"/>
        </w:rPr>
        <w:t>.010</w:t>
      </w:r>
      <w:r w:rsidR="0007530D" w:rsidRPr="005C47D8">
        <w:rPr>
          <w:rFonts w:ascii="Times New Roman" w:eastAsia="Times New Roman" w:hAnsi="Times New Roman" w:cs="Times New Roman"/>
          <w:bCs/>
          <w:sz w:val="24"/>
          <w:szCs w:val="24"/>
        </w:rPr>
        <w:tab/>
      </w:r>
      <w:r w:rsidRPr="005C47D8">
        <w:rPr>
          <w:rFonts w:ascii="Times New Roman" w:eastAsia="Times New Roman" w:hAnsi="Times New Roman" w:cs="Times New Roman"/>
          <w:bCs/>
          <w:sz w:val="24"/>
          <w:szCs w:val="24"/>
          <w:u w:val="single"/>
        </w:rPr>
        <w:t>REMOVAL OF CABLE SYSTEM</w:t>
      </w:r>
    </w:p>
    <w:p w:rsidR="00C2131C" w:rsidRPr="005C47D8" w:rsidRDefault="00C2131C" w:rsidP="007C4A58">
      <w:pPr>
        <w:rPr>
          <w:rFonts w:ascii="Times New Roman" w:eastAsia="Times New Roman" w:hAnsi="Times New Roman" w:cs="Times New Roman"/>
          <w:bCs/>
          <w:sz w:val="24"/>
          <w:szCs w:val="24"/>
        </w:rPr>
      </w:pPr>
      <w:r w:rsidRPr="005C47D8">
        <w:rPr>
          <w:rFonts w:ascii="Times New Roman" w:eastAsia="Times New Roman" w:hAnsi="Times New Roman" w:cs="Times New Roman"/>
          <w:bCs/>
          <w:sz w:val="24"/>
          <w:szCs w:val="24"/>
        </w:rPr>
        <w:t>In the event that: (l) the use of the Cable System is discontinued for any reason for a continuous period of twelve (12) months; or (2) the Cable System has been installed in a Street without complying with the requirements of this Franchise or the City Code, Grantee, at its expense shall, at the demand of the City remove promptly from the Streets all of the Cable System other than any which the City may permit to be abandoned in place. In the event of any such removal Grantee shall promptly restore the Street to a condition as nearly as possible to its prior condition or other public places in the City from whic</w:t>
      </w:r>
      <w:bookmarkStart w:id="1" w:name="_GoBack"/>
      <w:bookmarkEnd w:id="1"/>
      <w:r w:rsidRPr="005C47D8">
        <w:rPr>
          <w:rFonts w:ascii="Times New Roman" w:eastAsia="Times New Roman" w:hAnsi="Times New Roman" w:cs="Times New Roman"/>
          <w:bCs/>
          <w:sz w:val="24"/>
          <w:szCs w:val="24"/>
        </w:rPr>
        <w:t>h the System has been removed. However, Grantee shall have no obligation to remove the Cable System where it utilizes the system to provide other non-Cable Services and has any other authority under Applicable Law to maintain facilities in the Street, or where Grantee is able to find a purchaser of the Cable System who holds such authorization.</w:t>
      </w:r>
    </w:p>
    <w:p w:rsidR="00C2131C" w:rsidRPr="005C47D8" w:rsidRDefault="00C2131C" w:rsidP="007C4A58">
      <w:pPr>
        <w:rPr>
          <w:rFonts w:ascii="Times New Roman" w:eastAsia="Times New Roman" w:hAnsi="Times New Roman" w:cs="Times New Roman"/>
          <w:bCs/>
          <w:sz w:val="24"/>
          <w:szCs w:val="24"/>
          <w:u w:val="single"/>
        </w:rPr>
      </w:pPr>
      <w:r w:rsidRPr="005C47D8">
        <w:rPr>
          <w:rFonts w:ascii="Times New Roman" w:eastAsia="Times New Roman" w:hAnsi="Times New Roman" w:cs="Times New Roman"/>
          <w:bCs/>
          <w:sz w:val="24"/>
          <w:szCs w:val="24"/>
        </w:rPr>
        <w:t>904.020</w:t>
      </w:r>
      <w:r w:rsidRPr="005C47D8">
        <w:rPr>
          <w:rFonts w:ascii="Times New Roman" w:eastAsia="Times New Roman" w:hAnsi="Times New Roman" w:cs="Times New Roman"/>
          <w:bCs/>
          <w:sz w:val="24"/>
          <w:szCs w:val="24"/>
        </w:rPr>
        <w:tab/>
      </w:r>
      <w:r w:rsidRPr="005C47D8">
        <w:rPr>
          <w:rFonts w:ascii="Times New Roman" w:eastAsia="Times New Roman" w:hAnsi="Times New Roman" w:cs="Times New Roman"/>
          <w:bCs/>
          <w:sz w:val="24"/>
          <w:szCs w:val="24"/>
          <w:u w:val="single"/>
        </w:rPr>
        <w:t>ABANDONMENT OF CABLE SYSTEM</w:t>
      </w:r>
    </w:p>
    <w:p w:rsidR="00C2131C" w:rsidRPr="005C47D8" w:rsidRDefault="00C2131C" w:rsidP="007C4A58">
      <w:pPr>
        <w:rPr>
          <w:rFonts w:ascii="Times New Roman" w:eastAsia="Times New Roman" w:hAnsi="Times New Roman" w:cs="Times New Roman"/>
          <w:bCs/>
          <w:sz w:val="24"/>
          <w:szCs w:val="24"/>
        </w:rPr>
      </w:pPr>
      <w:r w:rsidRPr="005C47D8">
        <w:rPr>
          <w:rFonts w:ascii="Times New Roman" w:eastAsia="Times New Roman" w:hAnsi="Times New Roman" w:cs="Times New Roman"/>
          <w:bCs/>
          <w:sz w:val="24"/>
          <w:szCs w:val="24"/>
        </w:rPr>
        <w:t>In the event of Grantee’s abandonment of the Cable System, City shall have the right to require Grantee to comply with the state right-of-way rules, Minn. Rules, Chapter 7819. The Cable System to be abandoned in place shall be abandoned in the manner prescribed by the City. Grantee may not abandon any portion of the System without having first given three (3) months written notice to the City. Grantee may not abandon any portion of the System without compensating the City for damages resulting from the abandonment.</w:t>
      </w:r>
    </w:p>
    <w:p w:rsidR="00C2131C" w:rsidRPr="005C47D8" w:rsidRDefault="00C2131C" w:rsidP="007C4A58">
      <w:pPr>
        <w:rPr>
          <w:rFonts w:ascii="Times New Roman" w:eastAsia="Times New Roman" w:hAnsi="Times New Roman" w:cs="Times New Roman"/>
          <w:bCs/>
          <w:sz w:val="24"/>
          <w:szCs w:val="24"/>
          <w:u w:val="single"/>
        </w:rPr>
      </w:pPr>
      <w:r w:rsidRPr="005C47D8">
        <w:rPr>
          <w:rFonts w:ascii="Times New Roman" w:eastAsia="Times New Roman" w:hAnsi="Times New Roman" w:cs="Times New Roman"/>
          <w:bCs/>
          <w:sz w:val="24"/>
          <w:szCs w:val="24"/>
        </w:rPr>
        <w:t>904.030</w:t>
      </w:r>
      <w:r w:rsidRPr="005C47D8">
        <w:rPr>
          <w:rFonts w:ascii="Times New Roman" w:eastAsia="Times New Roman" w:hAnsi="Times New Roman" w:cs="Times New Roman"/>
          <w:bCs/>
          <w:sz w:val="24"/>
          <w:szCs w:val="24"/>
        </w:rPr>
        <w:tab/>
      </w:r>
      <w:r w:rsidRPr="005C47D8">
        <w:rPr>
          <w:rFonts w:ascii="Times New Roman" w:eastAsia="Times New Roman" w:hAnsi="Times New Roman" w:cs="Times New Roman"/>
          <w:bCs/>
          <w:sz w:val="24"/>
          <w:szCs w:val="24"/>
          <w:u w:val="single"/>
        </w:rPr>
        <w:t>REMOVAL AFTER ABANDONMENT OR TERMINATION</w:t>
      </w:r>
    </w:p>
    <w:p w:rsidR="00C2131C" w:rsidRPr="005C47D8" w:rsidRDefault="00C2131C" w:rsidP="007C4A58">
      <w:pPr>
        <w:rPr>
          <w:rFonts w:ascii="Times New Roman" w:eastAsia="Times New Roman" w:hAnsi="Times New Roman" w:cs="Times New Roman"/>
          <w:bCs/>
          <w:sz w:val="24"/>
          <w:szCs w:val="24"/>
        </w:rPr>
      </w:pPr>
      <w:r w:rsidRPr="005C47D8">
        <w:rPr>
          <w:rFonts w:ascii="Times New Roman" w:eastAsia="Times New Roman" w:hAnsi="Times New Roman" w:cs="Times New Roman"/>
          <w:bCs/>
          <w:sz w:val="24"/>
          <w:szCs w:val="24"/>
        </w:rPr>
        <w:t>If Grantee has failed to commence removal of System, or such part thereof as was designated by the City, within thirty (30) Days after written notice of the City’s demand for removal consistent with Minn. Rules, Ch. 7819, is given, or if Grantee has failed to complete such removal within twelve (12) months after written notice of the City’s demand for removal is given, the City shall have the right to apply funds secured by the Bond toward removal and/or declare all right, title, and interest to the Cable System for the City with all rights of ownership including, but not limited to, the right to operate the Cable System or transfer the Cable System to another for operation by it.</w:t>
      </w:r>
    </w:p>
    <w:p w:rsidR="00C2131C" w:rsidRPr="005C47D8" w:rsidRDefault="00C2131C" w:rsidP="007C4A58">
      <w:pPr>
        <w:rPr>
          <w:rFonts w:ascii="Times New Roman" w:eastAsia="Times New Roman" w:hAnsi="Times New Roman" w:cs="Times New Roman"/>
          <w:bCs/>
          <w:sz w:val="24"/>
          <w:szCs w:val="24"/>
          <w:u w:val="single"/>
        </w:rPr>
      </w:pPr>
      <w:r w:rsidRPr="005C47D8">
        <w:rPr>
          <w:rFonts w:ascii="Times New Roman" w:eastAsia="Times New Roman" w:hAnsi="Times New Roman" w:cs="Times New Roman"/>
          <w:bCs/>
          <w:sz w:val="24"/>
          <w:szCs w:val="24"/>
        </w:rPr>
        <w:t>904.040</w:t>
      </w:r>
      <w:r w:rsidRPr="005C47D8">
        <w:rPr>
          <w:rFonts w:ascii="Times New Roman" w:eastAsia="Times New Roman" w:hAnsi="Times New Roman" w:cs="Times New Roman"/>
          <w:bCs/>
          <w:sz w:val="24"/>
          <w:szCs w:val="24"/>
        </w:rPr>
        <w:tab/>
      </w:r>
      <w:r w:rsidRPr="005C47D8">
        <w:rPr>
          <w:rFonts w:ascii="Times New Roman" w:eastAsia="Times New Roman" w:hAnsi="Times New Roman" w:cs="Times New Roman"/>
          <w:bCs/>
          <w:sz w:val="24"/>
          <w:szCs w:val="24"/>
          <w:u w:val="single"/>
        </w:rPr>
        <w:t>CITY OPTIONS FOR FAILURE TO REMOVE CABLE SYSTEM</w:t>
      </w:r>
    </w:p>
    <w:p w:rsidR="00C2131C" w:rsidRPr="005C47D8" w:rsidRDefault="00C2131C" w:rsidP="00C2131C">
      <w:pPr>
        <w:pStyle w:val="ListParagraph"/>
        <w:numPr>
          <w:ilvl w:val="1"/>
          <w:numId w:val="11"/>
        </w:numPr>
        <w:tabs>
          <w:tab w:val="left" w:pos="840"/>
        </w:tabs>
        <w:ind w:right="914" w:firstLine="0"/>
        <w:rPr>
          <w:sz w:val="24"/>
        </w:rPr>
      </w:pPr>
      <w:r w:rsidRPr="005C47D8">
        <w:rPr>
          <w:sz w:val="24"/>
        </w:rPr>
        <w:t>If Grantee has failed to complete</w:t>
      </w:r>
      <w:r w:rsidRPr="005C47D8">
        <w:rPr>
          <w:spacing w:val="1"/>
          <w:sz w:val="24"/>
        </w:rPr>
        <w:t xml:space="preserve"> </w:t>
      </w:r>
      <w:r w:rsidRPr="005C47D8">
        <w:rPr>
          <w:sz w:val="24"/>
        </w:rPr>
        <w:t>such</w:t>
      </w:r>
      <w:r w:rsidRPr="005C47D8">
        <w:rPr>
          <w:spacing w:val="-6"/>
          <w:sz w:val="24"/>
        </w:rPr>
        <w:t xml:space="preserve"> </w:t>
      </w:r>
      <w:r w:rsidRPr="005C47D8">
        <w:rPr>
          <w:sz w:val="24"/>
        </w:rPr>
        <w:t>removal</w:t>
      </w:r>
      <w:r w:rsidRPr="005C47D8">
        <w:rPr>
          <w:spacing w:val="-5"/>
          <w:sz w:val="24"/>
        </w:rPr>
        <w:t xml:space="preserve"> </w:t>
      </w:r>
      <w:r w:rsidRPr="005C47D8">
        <w:rPr>
          <w:sz w:val="24"/>
        </w:rPr>
        <w:t>within</w:t>
      </w:r>
      <w:r w:rsidRPr="005C47D8">
        <w:rPr>
          <w:spacing w:val="-5"/>
          <w:sz w:val="24"/>
        </w:rPr>
        <w:t xml:space="preserve"> </w:t>
      </w:r>
      <w:r w:rsidRPr="005C47D8">
        <w:rPr>
          <w:sz w:val="24"/>
        </w:rPr>
        <w:t>the</w:t>
      </w:r>
      <w:r w:rsidRPr="005C47D8">
        <w:rPr>
          <w:spacing w:val="-5"/>
          <w:sz w:val="24"/>
        </w:rPr>
        <w:t xml:space="preserve"> </w:t>
      </w:r>
      <w:r w:rsidRPr="005C47D8">
        <w:rPr>
          <w:sz w:val="24"/>
        </w:rPr>
        <w:t>time</w:t>
      </w:r>
      <w:r w:rsidRPr="005C47D8">
        <w:rPr>
          <w:spacing w:val="-5"/>
          <w:sz w:val="24"/>
        </w:rPr>
        <w:t xml:space="preserve"> </w:t>
      </w:r>
      <w:r w:rsidRPr="005C47D8">
        <w:rPr>
          <w:sz w:val="24"/>
        </w:rPr>
        <w:t>given</w:t>
      </w:r>
      <w:r w:rsidRPr="005C47D8">
        <w:rPr>
          <w:spacing w:val="-5"/>
          <w:sz w:val="24"/>
        </w:rPr>
        <w:t xml:space="preserve"> </w:t>
      </w:r>
      <w:r w:rsidRPr="005C47D8">
        <w:rPr>
          <w:sz w:val="24"/>
        </w:rPr>
        <w:t>after</w:t>
      </w:r>
      <w:r w:rsidRPr="005C47D8">
        <w:rPr>
          <w:spacing w:val="-5"/>
          <w:sz w:val="24"/>
        </w:rPr>
        <w:t xml:space="preserve"> </w:t>
      </w:r>
      <w:r w:rsidRPr="005C47D8">
        <w:rPr>
          <w:sz w:val="24"/>
        </w:rPr>
        <w:t>written</w:t>
      </w:r>
      <w:r w:rsidRPr="005C47D8">
        <w:rPr>
          <w:spacing w:val="-6"/>
          <w:sz w:val="24"/>
        </w:rPr>
        <w:t xml:space="preserve"> </w:t>
      </w:r>
      <w:r w:rsidRPr="005C47D8">
        <w:rPr>
          <w:sz w:val="24"/>
        </w:rPr>
        <w:t>notice</w:t>
      </w:r>
      <w:r w:rsidRPr="005C47D8">
        <w:rPr>
          <w:spacing w:val="-5"/>
          <w:sz w:val="24"/>
        </w:rPr>
        <w:t xml:space="preserve"> </w:t>
      </w:r>
      <w:r w:rsidRPr="005C47D8">
        <w:rPr>
          <w:sz w:val="24"/>
        </w:rPr>
        <w:t>of</w:t>
      </w:r>
      <w:r w:rsidRPr="005C47D8">
        <w:rPr>
          <w:spacing w:val="-5"/>
          <w:sz w:val="24"/>
        </w:rPr>
        <w:t xml:space="preserve"> </w:t>
      </w:r>
      <w:r w:rsidRPr="005C47D8">
        <w:rPr>
          <w:sz w:val="24"/>
        </w:rPr>
        <w:t>the</w:t>
      </w:r>
      <w:r w:rsidRPr="005C47D8">
        <w:rPr>
          <w:spacing w:val="-5"/>
          <w:sz w:val="24"/>
        </w:rPr>
        <w:t xml:space="preserve"> </w:t>
      </w:r>
      <w:r w:rsidRPr="005C47D8">
        <w:rPr>
          <w:sz w:val="24"/>
        </w:rPr>
        <w:t>City’s</w:t>
      </w:r>
      <w:r w:rsidRPr="005C47D8">
        <w:rPr>
          <w:spacing w:val="-5"/>
          <w:sz w:val="24"/>
        </w:rPr>
        <w:t xml:space="preserve"> </w:t>
      </w:r>
      <w:r w:rsidRPr="005C47D8">
        <w:rPr>
          <w:sz w:val="24"/>
        </w:rPr>
        <w:t>demand</w:t>
      </w:r>
      <w:r w:rsidRPr="005C47D8">
        <w:rPr>
          <w:spacing w:val="-5"/>
          <w:sz w:val="24"/>
        </w:rPr>
        <w:t xml:space="preserve"> </w:t>
      </w:r>
      <w:r w:rsidRPr="005C47D8">
        <w:rPr>
          <w:sz w:val="24"/>
        </w:rPr>
        <w:t>for</w:t>
      </w:r>
      <w:r w:rsidRPr="005C47D8">
        <w:rPr>
          <w:spacing w:val="-5"/>
          <w:sz w:val="24"/>
        </w:rPr>
        <w:t xml:space="preserve"> </w:t>
      </w:r>
      <w:r w:rsidRPr="005C47D8">
        <w:rPr>
          <w:sz w:val="24"/>
        </w:rPr>
        <w:t>removal</w:t>
      </w:r>
      <w:r w:rsidRPr="005C47D8">
        <w:rPr>
          <w:spacing w:val="-5"/>
          <w:sz w:val="24"/>
        </w:rPr>
        <w:t xml:space="preserve"> </w:t>
      </w:r>
      <w:r w:rsidRPr="005C47D8">
        <w:rPr>
          <w:sz w:val="24"/>
        </w:rPr>
        <w:t>is</w:t>
      </w:r>
      <w:r w:rsidRPr="005C47D8">
        <w:rPr>
          <w:spacing w:val="-5"/>
          <w:sz w:val="24"/>
        </w:rPr>
        <w:t xml:space="preserve"> </w:t>
      </w:r>
      <w:r w:rsidRPr="005C47D8">
        <w:rPr>
          <w:sz w:val="24"/>
        </w:rPr>
        <w:t>given,</w:t>
      </w:r>
      <w:r w:rsidRPr="005C47D8">
        <w:rPr>
          <w:spacing w:val="-58"/>
          <w:sz w:val="24"/>
        </w:rPr>
        <w:t xml:space="preserve"> </w:t>
      </w:r>
      <w:r w:rsidRPr="005C47D8">
        <w:rPr>
          <w:sz w:val="24"/>
        </w:rPr>
        <w:t>the</w:t>
      </w:r>
      <w:r w:rsidRPr="005C47D8">
        <w:rPr>
          <w:spacing w:val="-1"/>
          <w:sz w:val="24"/>
        </w:rPr>
        <w:t xml:space="preserve"> </w:t>
      </w:r>
      <w:r w:rsidRPr="005C47D8">
        <w:rPr>
          <w:sz w:val="24"/>
        </w:rPr>
        <w:t>City shall</w:t>
      </w:r>
      <w:r w:rsidRPr="005C47D8">
        <w:rPr>
          <w:spacing w:val="-1"/>
          <w:sz w:val="24"/>
        </w:rPr>
        <w:t xml:space="preserve"> </w:t>
      </w:r>
      <w:r w:rsidRPr="005C47D8">
        <w:rPr>
          <w:sz w:val="24"/>
        </w:rPr>
        <w:t>have the</w:t>
      </w:r>
      <w:r w:rsidRPr="005C47D8">
        <w:rPr>
          <w:spacing w:val="-1"/>
          <w:sz w:val="24"/>
        </w:rPr>
        <w:t xml:space="preserve"> </w:t>
      </w:r>
      <w:r w:rsidRPr="005C47D8">
        <w:rPr>
          <w:sz w:val="24"/>
        </w:rPr>
        <w:t>right to exercise</w:t>
      </w:r>
      <w:r w:rsidRPr="005C47D8">
        <w:rPr>
          <w:spacing w:val="-1"/>
          <w:sz w:val="24"/>
        </w:rPr>
        <w:t xml:space="preserve"> </w:t>
      </w:r>
      <w:r w:rsidRPr="005C47D8">
        <w:rPr>
          <w:sz w:val="24"/>
        </w:rPr>
        <w:t>one</w:t>
      </w:r>
      <w:r w:rsidRPr="005C47D8">
        <w:rPr>
          <w:spacing w:val="-1"/>
          <w:sz w:val="24"/>
        </w:rPr>
        <w:t xml:space="preserve"> </w:t>
      </w:r>
      <w:r w:rsidRPr="005C47D8">
        <w:rPr>
          <w:sz w:val="24"/>
        </w:rPr>
        <w:t>of</w:t>
      </w:r>
      <w:r w:rsidRPr="005C47D8">
        <w:rPr>
          <w:spacing w:val="-2"/>
          <w:sz w:val="24"/>
        </w:rPr>
        <w:t xml:space="preserve"> </w:t>
      </w:r>
      <w:r w:rsidRPr="005C47D8">
        <w:rPr>
          <w:sz w:val="24"/>
        </w:rPr>
        <w:t>the following</w:t>
      </w:r>
      <w:r w:rsidRPr="005C47D8">
        <w:rPr>
          <w:spacing w:val="-2"/>
          <w:sz w:val="24"/>
        </w:rPr>
        <w:t xml:space="preserve"> </w:t>
      </w:r>
      <w:r w:rsidRPr="005C47D8">
        <w:rPr>
          <w:sz w:val="24"/>
        </w:rPr>
        <w:t>options:</w:t>
      </w:r>
    </w:p>
    <w:p w:rsidR="00C2131C" w:rsidRPr="005C47D8" w:rsidRDefault="00C2131C" w:rsidP="00C2131C">
      <w:pPr>
        <w:pStyle w:val="BodyText"/>
        <w:spacing w:before="10"/>
        <w:rPr>
          <w:sz w:val="20"/>
        </w:rPr>
      </w:pPr>
    </w:p>
    <w:p w:rsidR="00C2131C" w:rsidRPr="005C47D8" w:rsidRDefault="00C2131C" w:rsidP="00C2131C">
      <w:pPr>
        <w:pStyle w:val="ListParagraph"/>
        <w:numPr>
          <w:ilvl w:val="2"/>
          <w:numId w:val="11"/>
        </w:numPr>
        <w:tabs>
          <w:tab w:val="left" w:pos="1650"/>
        </w:tabs>
        <w:ind w:right="917" w:firstLine="0"/>
        <w:rPr>
          <w:sz w:val="24"/>
        </w:rPr>
      </w:pPr>
      <w:r w:rsidRPr="005C47D8">
        <w:rPr>
          <w:sz w:val="24"/>
        </w:rPr>
        <w:t>Declare all right, title and interest to the System for the City or its designee with</w:t>
      </w:r>
      <w:r w:rsidRPr="005C47D8">
        <w:rPr>
          <w:spacing w:val="1"/>
          <w:sz w:val="24"/>
        </w:rPr>
        <w:t xml:space="preserve"> </w:t>
      </w:r>
      <w:r w:rsidRPr="005C47D8">
        <w:rPr>
          <w:sz w:val="24"/>
        </w:rPr>
        <w:t>all rights of ownership including, but not limited to, the right to operate the System or</w:t>
      </w:r>
      <w:r w:rsidRPr="005C47D8">
        <w:rPr>
          <w:spacing w:val="1"/>
          <w:sz w:val="24"/>
        </w:rPr>
        <w:t xml:space="preserve"> </w:t>
      </w:r>
      <w:r w:rsidRPr="005C47D8">
        <w:rPr>
          <w:sz w:val="24"/>
        </w:rPr>
        <w:t>transfer</w:t>
      </w:r>
      <w:r w:rsidRPr="005C47D8">
        <w:rPr>
          <w:spacing w:val="-2"/>
          <w:sz w:val="24"/>
        </w:rPr>
        <w:t xml:space="preserve"> </w:t>
      </w:r>
      <w:r w:rsidRPr="005C47D8">
        <w:rPr>
          <w:sz w:val="24"/>
        </w:rPr>
        <w:t>the</w:t>
      </w:r>
      <w:r w:rsidRPr="005C47D8">
        <w:rPr>
          <w:spacing w:val="-1"/>
          <w:sz w:val="24"/>
        </w:rPr>
        <w:t xml:space="preserve"> </w:t>
      </w:r>
      <w:r w:rsidRPr="005C47D8">
        <w:rPr>
          <w:sz w:val="24"/>
        </w:rPr>
        <w:t>System</w:t>
      </w:r>
      <w:r w:rsidRPr="005C47D8">
        <w:rPr>
          <w:spacing w:val="-1"/>
          <w:sz w:val="24"/>
        </w:rPr>
        <w:t xml:space="preserve"> </w:t>
      </w:r>
      <w:r w:rsidRPr="005C47D8">
        <w:rPr>
          <w:sz w:val="24"/>
        </w:rPr>
        <w:t>to</w:t>
      </w:r>
      <w:r w:rsidRPr="005C47D8">
        <w:rPr>
          <w:spacing w:val="-2"/>
          <w:sz w:val="24"/>
        </w:rPr>
        <w:t xml:space="preserve"> </w:t>
      </w:r>
      <w:r w:rsidRPr="005C47D8">
        <w:rPr>
          <w:sz w:val="24"/>
        </w:rPr>
        <w:t>another for operation by it; or</w:t>
      </w:r>
    </w:p>
    <w:p w:rsidR="00C2131C" w:rsidRPr="005C47D8" w:rsidRDefault="00C2131C" w:rsidP="00C2131C">
      <w:pPr>
        <w:pStyle w:val="BodyText"/>
        <w:spacing w:before="10"/>
        <w:rPr>
          <w:sz w:val="20"/>
        </w:rPr>
      </w:pPr>
    </w:p>
    <w:p w:rsidR="00C2131C" w:rsidRPr="005C47D8" w:rsidRDefault="00C2131C" w:rsidP="00C2131C">
      <w:pPr>
        <w:pStyle w:val="ListParagraph"/>
        <w:numPr>
          <w:ilvl w:val="2"/>
          <w:numId w:val="11"/>
        </w:numPr>
        <w:tabs>
          <w:tab w:val="left" w:pos="1650"/>
        </w:tabs>
        <w:ind w:right="914" w:firstLine="0"/>
        <w:rPr>
          <w:sz w:val="24"/>
        </w:rPr>
      </w:pPr>
      <w:r w:rsidRPr="005C47D8">
        <w:rPr>
          <w:sz w:val="24"/>
        </w:rPr>
        <w:t xml:space="preserve">Declare the System abandoned and cause the System, or such part </w:t>
      </w:r>
      <w:r w:rsidRPr="005C47D8">
        <w:rPr>
          <w:sz w:val="24"/>
        </w:rPr>
        <w:lastRenderedPageBreak/>
        <w:t>thereof as the</w:t>
      </w:r>
      <w:r w:rsidRPr="005C47D8">
        <w:rPr>
          <w:spacing w:val="1"/>
          <w:sz w:val="24"/>
        </w:rPr>
        <w:t xml:space="preserve"> </w:t>
      </w:r>
      <w:r w:rsidRPr="005C47D8">
        <w:rPr>
          <w:sz w:val="24"/>
        </w:rPr>
        <w:t>City shall designate, to be removed at no cost to the City.</w:t>
      </w:r>
      <w:r w:rsidRPr="005C47D8">
        <w:rPr>
          <w:spacing w:val="1"/>
          <w:sz w:val="24"/>
        </w:rPr>
        <w:t xml:space="preserve"> </w:t>
      </w:r>
      <w:r w:rsidRPr="005C47D8">
        <w:rPr>
          <w:sz w:val="24"/>
        </w:rPr>
        <w:t>The cost of said removal shall</w:t>
      </w:r>
      <w:r w:rsidRPr="005C47D8">
        <w:rPr>
          <w:spacing w:val="-57"/>
          <w:sz w:val="24"/>
        </w:rPr>
        <w:t xml:space="preserve"> </w:t>
      </w:r>
      <w:r w:rsidRPr="005C47D8">
        <w:rPr>
          <w:sz w:val="24"/>
        </w:rPr>
        <w:t>be recoverable from the security fund, indemnity and penalty section provided for in this</w:t>
      </w:r>
      <w:r w:rsidRPr="005C47D8">
        <w:rPr>
          <w:spacing w:val="-57"/>
          <w:sz w:val="24"/>
        </w:rPr>
        <w:t xml:space="preserve"> </w:t>
      </w:r>
      <w:r w:rsidRPr="005C47D8">
        <w:rPr>
          <w:sz w:val="24"/>
        </w:rPr>
        <w:t>Franchise</w:t>
      </w:r>
      <w:r w:rsidRPr="005C47D8">
        <w:rPr>
          <w:spacing w:val="-1"/>
          <w:sz w:val="24"/>
        </w:rPr>
        <w:t xml:space="preserve"> </w:t>
      </w:r>
      <w:r w:rsidRPr="005C47D8">
        <w:rPr>
          <w:sz w:val="24"/>
        </w:rPr>
        <w:t>or</w:t>
      </w:r>
      <w:r w:rsidRPr="005C47D8">
        <w:rPr>
          <w:spacing w:val="-1"/>
          <w:sz w:val="24"/>
        </w:rPr>
        <w:t xml:space="preserve"> </w:t>
      </w:r>
      <w:r w:rsidRPr="005C47D8">
        <w:rPr>
          <w:sz w:val="24"/>
        </w:rPr>
        <w:t>from Grantee directly.</w:t>
      </w:r>
    </w:p>
    <w:p w:rsidR="00C2131C" w:rsidRPr="005C47D8" w:rsidRDefault="00C2131C" w:rsidP="00C2131C">
      <w:pPr>
        <w:pStyle w:val="ListParagraph"/>
        <w:rPr>
          <w:sz w:val="24"/>
        </w:rPr>
      </w:pPr>
    </w:p>
    <w:p w:rsidR="00C2131C" w:rsidRPr="005C47D8" w:rsidRDefault="00C2131C" w:rsidP="00C2131C">
      <w:pPr>
        <w:pStyle w:val="ListParagraph"/>
        <w:numPr>
          <w:ilvl w:val="2"/>
          <w:numId w:val="11"/>
        </w:numPr>
        <w:tabs>
          <w:tab w:val="left" w:pos="1650"/>
        </w:tabs>
        <w:ind w:right="914" w:firstLine="0"/>
        <w:rPr>
          <w:sz w:val="24"/>
        </w:rPr>
      </w:pPr>
      <w:r w:rsidRPr="005C47D8">
        <w:rPr>
          <w:sz w:val="24"/>
        </w:rPr>
        <w:t>Upon termination of service to any Subscriber, Grantee shall promptly remove all facilities and equipment from within the dwelling of a Subscriber who owns such dwelling upon his or her written request, except as provided by Applicable Law. Such Subscribers shall be responsible for any costs incurred by Grantee in removing the facilities and equipment.</w:t>
      </w:r>
    </w:p>
    <w:p w:rsidR="00C2131C" w:rsidRPr="005C47D8" w:rsidRDefault="00C2131C" w:rsidP="00C2131C">
      <w:pPr>
        <w:pStyle w:val="ListParagraph"/>
        <w:rPr>
          <w:sz w:val="24"/>
        </w:rPr>
      </w:pPr>
    </w:p>
    <w:p w:rsidR="00C2131C" w:rsidRPr="005C47D8" w:rsidRDefault="00C2131C" w:rsidP="00C2131C">
      <w:pPr>
        <w:tabs>
          <w:tab w:val="left" w:pos="1650"/>
        </w:tabs>
        <w:ind w:right="914"/>
        <w:rPr>
          <w:rFonts w:ascii="Times New Roman" w:hAnsi="Times New Roman" w:cs="Times New Roman"/>
          <w:sz w:val="24"/>
          <w:u w:val="single"/>
        </w:rPr>
      </w:pPr>
      <w:r w:rsidRPr="005C47D8">
        <w:rPr>
          <w:rFonts w:ascii="Times New Roman" w:hAnsi="Times New Roman" w:cs="Times New Roman"/>
          <w:sz w:val="24"/>
        </w:rPr>
        <w:t>904.050</w:t>
      </w:r>
      <w:r w:rsidRPr="005C47D8">
        <w:rPr>
          <w:rFonts w:ascii="Times New Roman" w:hAnsi="Times New Roman" w:cs="Times New Roman"/>
          <w:sz w:val="24"/>
        </w:rPr>
        <w:tab/>
      </w:r>
      <w:r w:rsidRPr="005C47D8">
        <w:rPr>
          <w:rFonts w:ascii="Times New Roman" w:hAnsi="Times New Roman" w:cs="Times New Roman"/>
          <w:sz w:val="24"/>
          <w:u w:val="single"/>
        </w:rPr>
        <w:t>SYSTEM CONSTRUCTION AND EQUIPMENT STANDARDS</w:t>
      </w:r>
    </w:p>
    <w:p w:rsidR="00C2131C" w:rsidRPr="005C47D8" w:rsidRDefault="00C2131C" w:rsidP="00C2131C">
      <w:pPr>
        <w:tabs>
          <w:tab w:val="left" w:pos="1650"/>
        </w:tabs>
        <w:ind w:right="914"/>
        <w:rPr>
          <w:rFonts w:ascii="Times New Roman" w:hAnsi="Times New Roman" w:cs="Times New Roman"/>
          <w:sz w:val="24"/>
        </w:rPr>
      </w:pPr>
      <w:r w:rsidRPr="005C47D8">
        <w:rPr>
          <w:rFonts w:ascii="Times New Roman" w:hAnsi="Times New Roman" w:cs="Times New Roman"/>
          <w:sz w:val="24"/>
        </w:rPr>
        <w:t xml:space="preserve">The Cable System shall be installed and maintained in accordance with standard engineering practices and shall conform, when applicable, </w:t>
      </w:r>
      <w:proofErr w:type="gramStart"/>
      <w:r w:rsidRPr="005C47D8">
        <w:rPr>
          <w:rFonts w:ascii="Times New Roman" w:hAnsi="Times New Roman" w:cs="Times New Roman"/>
          <w:sz w:val="24"/>
        </w:rPr>
        <w:t>with</w:t>
      </w:r>
      <w:proofErr w:type="gramEnd"/>
      <w:r w:rsidRPr="005C47D8">
        <w:rPr>
          <w:rFonts w:ascii="Times New Roman" w:hAnsi="Times New Roman" w:cs="Times New Roman"/>
          <w:sz w:val="24"/>
        </w:rPr>
        <w:t xml:space="preserve"> the National Electrical Safety Code, the National Electrical Code and the FCC’s rules and regulations.</w:t>
      </w:r>
    </w:p>
    <w:p w:rsidR="00C2131C" w:rsidRPr="005C47D8" w:rsidRDefault="00C2131C" w:rsidP="00C2131C">
      <w:pPr>
        <w:tabs>
          <w:tab w:val="left" w:pos="1650"/>
        </w:tabs>
        <w:ind w:right="914"/>
        <w:rPr>
          <w:rFonts w:ascii="Times New Roman" w:hAnsi="Times New Roman" w:cs="Times New Roman"/>
          <w:sz w:val="24"/>
          <w:u w:val="single"/>
        </w:rPr>
      </w:pPr>
      <w:r w:rsidRPr="005C47D8">
        <w:rPr>
          <w:rFonts w:ascii="Times New Roman" w:hAnsi="Times New Roman" w:cs="Times New Roman"/>
          <w:sz w:val="24"/>
        </w:rPr>
        <w:t>904.060</w:t>
      </w:r>
      <w:r w:rsidRPr="005C47D8">
        <w:rPr>
          <w:rFonts w:ascii="Times New Roman" w:hAnsi="Times New Roman" w:cs="Times New Roman"/>
          <w:sz w:val="24"/>
        </w:rPr>
        <w:tab/>
      </w:r>
      <w:r w:rsidRPr="005C47D8">
        <w:rPr>
          <w:rFonts w:ascii="Times New Roman" w:hAnsi="Times New Roman" w:cs="Times New Roman"/>
          <w:sz w:val="24"/>
          <w:u w:val="single"/>
        </w:rPr>
        <w:t>SYSTEM MAPS AND LAYOUT</w:t>
      </w:r>
    </w:p>
    <w:p w:rsidR="00C2131C" w:rsidRPr="005C47D8" w:rsidRDefault="00C2131C" w:rsidP="00C2131C">
      <w:pPr>
        <w:tabs>
          <w:tab w:val="left" w:pos="1650"/>
        </w:tabs>
        <w:ind w:right="914"/>
        <w:rPr>
          <w:rFonts w:ascii="Times New Roman" w:hAnsi="Times New Roman" w:cs="Times New Roman"/>
          <w:sz w:val="24"/>
        </w:rPr>
      </w:pPr>
      <w:r w:rsidRPr="005C47D8">
        <w:rPr>
          <w:rFonts w:ascii="Times New Roman" w:hAnsi="Times New Roman" w:cs="Times New Roman"/>
          <w:sz w:val="24"/>
        </w:rPr>
        <w:t>In addition to any generally applicable mapping requirements included in the City Code and required of other utilities, Grantee shall maintain complete and accurate system maps, which shall include trunks, distribution lines, and nodes. Such maps shall include up-to-date route maps showing the location of the Cable System adjacent to the Streets. Grantee shall make all maps available for review by the appropriate City personnel.</w:t>
      </w:r>
    </w:p>
    <w:sectPr w:rsidR="00C2131C" w:rsidRPr="005C4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3"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4"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5"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7"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8"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9"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0"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3"/>
  </w:num>
  <w:num w:numId="5">
    <w:abstractNumId w:val="9"/>
  </w:num>
  <w:num w:numId="6">
    <w:abstractNumId w:val="5"/>
  </w:num>
  <w:num w:numId="7">
    <w:abstractNumId w:val="10"/>
  </w:num>
  <w:num w:numId="8">
    <w:abstractNumId w:val="2"/>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407FB6"/>
    <w:rsid w:val="00430F24"/>
    <w:rsid w:val="004C2E44"/>
    <w:rsid w:val="005040AA"/>
    <w:rsid w:val="005C47D8"/>
    <w:rsid w:val="007A6867"/>
    <w:rsid w:val="007C4A58"/>
    <w:rsid w:val="009E6008"/>
    <w:rsid w:val="00C2131C"/>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4</cp:revision>
  <dcterms:created xsi:type="dcterms:W3CDTF">2021-04-03T13:41:00Z</dcterms:created>
  <dcterms:modified xsi:type="dcterms:W3CDTF">2021-04-03T18:33:00Z</dcterms:modified>
</cp:coreProperties>
</file>